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PPCB</w:t>
      </w:r>
      <w:r>
        <w:rPr>
          <w:rFonts w:ascii="Calibri" w:hAnsi="Calibri"/>
          <w:b/>
          <w:color w:val="1A2010"/>
          <w:sz w:val="40"/>
        </w:rPr>
        <w:t xml:space="preserve">  Propanc Biopharma, Inc.</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Australia</w:t>
      </w:r>
    </w:p>
    <w:p>
      <w:pPr>
        <w:spacing w:after="80"/>
      </w:pPr>
      <w:r>
        <w:rPr>
          <w:rFonts w:ascii="Calibri" w:hAnsi="Calibri"/>
          <w:b w:val="0"/>
          <w:color w:val="3A4A28"/>
          <w:sz w:val="20"/>
        </w:rPr>
        <w:t>Propanc Biopharma is a pre-revenue clinical-stage biopharmaceutical company developing PRP, a proenzyme-based therapy targeting advanced solid tumors including pancreatic ductal adenocarcinoma (PDAC), ovarian cancer, and refractory prostate cancer. The company plans to file an Australian Clinical Trial Application in 2026 for a Phase 1b first-in-human study of PRP, with enrollment of up to 50 patients planned for February 2027. Market cap of ~$1.9M with no product revenue. CEO James Nathanielsz also serves as CFO and Executive Chairman. FY2025 net loss of $(58.9M) driven largely by non-cash items on a minimal operating cost base.</w:t>
      </w:r>
    </w:p>
    <w:p>
      <w:r>
        <w:rPr>
          <w:rFonts w:ascii="Calibri" w:hAnsi="Calibri"/>
          <w:b/>
          <w:color w:val="6E8450"/>
          <w:sz w:val="18"/>
        </w:rPr>
        <w:t>10 Employees · https://www.propanc.com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Propanc has no approved products and no product launches in its history. The company has been developing its PRP proenzyme therapy since founding but has not yet entered human clinical trials [1]. AI Deployment (0/2): No evidence of AI deployment in drug discovery or operations. The company is too small and early-stage for meaningful AI integration. Market Share (0/2): Pre-revenue with no products on market — market share is not applicable. Product Pipeline (1/2): PRP Phase 1b first-in-human study has a specific timeline — Australian Clinical Trial Application to be filed in 2026, multicenter open-label trial in up to 50 patients planned for February 2027, using a two-part design (dose escalation followed by dose expansion) across advanced solid tumors including pancreatic, ovarian, and prostate cancers [3]. This is a concrete, time-bound pipeline milestone. R&amp;D Intensity (0/1): Cannot meaningfully assess R&amp;D intensity relative to peers for a pre-revenue company with no revenue denominator.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Propanc's purpose — developing new therapeutic options for patients with advanced cancer — addresses a genuine unmet medical need, particularly in pancreatic cancer where 5-year survival rates remain below 12% [1]. The focus on difficult-to-treat solid tumors connects the company's work to meaningful patient impact. However, this purpose is standard for any oncology biotech and does not differentiate Propanc from hundreds of peers. Community Impact (0/2): No evidence of charitable giving, community programs, or social impact initiatives was identified. The company's ~10-person team and $1.9M market cap leave minimal capacity for community investment [3]. Employee Retention (0/2): The company is too small to evaluate employee retention meaningfully. CEO James Nathanielsz serving simultaneously as CFO and Executive Chairman suggests minimal management depth and a skeleton-crew operation [2]. Insider Buying (0/2): No evidence of meaningful insider buying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mechanically on available metrics; most growth-stock metrics are unavailable for this pre-revenue clinical-stage company. D/E of 5.3% is low, scoring maximum points — the company carries minimal debt relative to its depleted equity base [4]. ROE of -127.0% is deeply negative, scoring zero, reflecting massive accumulated losses on a minimal equity base [1]. Profit margin of 0% (no revenue) scores zero. Revenue growth, forward P/E, and PEG are all unavailable and excluded from the calculation. The infrastructure score is based on only three available metrics (D/E, ROE, profit margin), severely limiting the assessment. The company's $1.9M market cap and pre-revenue status represent extreme financial fragility — any delay in clinical milestones or inability to raise capital could be existential. Liquidity floor technically passed: 2.73M avg volume x $0.85 = ~$2.3M daily trading value, though this volume is driven by penny-stock speculation rather than institutional interest.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Propanc Biopharma is a micro-cap survival-stage company with a $1.9M market cap, no revenue, and a single pre-clinical asset. While the mission of developing cancer treatments is inherently meaningful, the company has not demonstrated the organizational capacity, leadership depth, or track record to qualify as an infinite game player. CEO James Nathanielsz serving simultaneously as CFO and Executive Chairman signals a company operating on minimal resources with no succession planning. The Phase 1b timeline (February 2027) is the sole near-term milestone for a company that has been developing PRP for years without reaching human trials.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purpose of developing treatments for advanced cancer patients is inherently meaningful — pancreatic cancer has a 5-year survival rate below 12%, and PRP's proenzyme approach targets an unmet medical need [1][3]. However, this cause is shared by hundreds of oncology biotechs and has not been validated by execution. A company that has been in development for over a decade without reaching human clinical trials has not yet proven that its cause translates into action. The mission exists but is shallow in practice.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approximately 10 employees and CEO James Nathanielsz serves triple duty as CEO, CFO, and Executive Chairman — a governance structure that concentrates all authority in one person and provides no checks, balances, or organizational depth [2]. No employee culture data, retention metrics, or team trust indicators are available or meaningful at this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commentary acknowledging competitor strengths or framing competition as motivation for self-improvement. At $1.9M market cap, Propanc is not meaningfully competing with major oncology players (Merck, Roche, Bristol-Myers Squibb) developing pancreatic cancer therapies.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has pursued the same PRP proenzyme therapy for its entire existence without pivoting or adapting its business model. While focus can be a virtue in drug development, the lack of any strategic adaptation over more than a decade — combined with a failure to reach human trials — suggests rigidity rather than disciplined focus.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The company's continued pursuit of PRP is persistence rather than courage — there is no evidence of strategic decisions that required sacrificing something valuable in service of the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Propanc Biopharma represents a high-risk/high-reward binary outcome on PRP clinical trial results — the Phase 1b first-in-human study in up to 50 patients with advanced solid tumors planned for February 2027 is the single meaningful catalyst [3]. PRP's proenzyme approach to pancreatic and ovarian cancer targets a massive unmet medical need (PDAC 5-year survival &lt;12%), and if Phase 1b demonstrates safety and preliminary efficacy, the company could attract partnership interest or acquisition from larger oncology players. At $0.85 with a $1.9M market cap, the stock prices in near-certain failure — any positive clinical signal could generate asymmetric returns. Scientific leadership including Dr. Ralf Brandt (30+ years pharmaceutical/oncology experience) provides credibility to the clinical program [2].</w:t>
      </w:r>
    </w:p>
    <w:p>
      <w:pPr>
        <w:spacing w:after="120"/>
      </w:pPr>
      <w:r>
        <w:rPr>
          <w:rFonts w:ascii="Calibri" w:hAnsi="Calibri"/>
          <w:b w:val="0"/>
          <w:color w:val="3A4A28"/>
          <w:sz w:val="20"/>
        </w:rPr>
        <w:t>The bear case is comprehensive and severe. Propanc has a $1.9M market cap — smaller than a single-family home in most U.S. markets — and has been developing PRP for over a decade without reaching human clinical trials [1]. FY2025 net loss of $(58.9M) on zero revenue (driven by non-cash items) highlights the extreme financial fragility [1]. CEO serving simultaneously as CFO and Executive Chairman represents a critical governance failure with no organizational depth or succession planning [2]. The company will require significant additional capital raising to fund the Phase 1b trial, inevitably diluting existing shareholders at distressed valuations. Drug development success rates for Phase 1b oncology compounds are approximately 5-10%, meaning there is a 90%+ probability that PRP fails to advance. The Inspire Impact Score is unavailable (N/A), providing no faith-alignment signal. This is a speculative micro-cap that fails every fundamental quality test in the IOWN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1b first-in-human study initiation in February 2027, enrolling up to 50 patients with advanced solid tumors (pancreatic, ovarian, prostate cancer) in a multicenter Australian trial — any positive safety/efficacy signal could transform the company's valuation from current $1.9M [3]</w:t>
      </w:r>
    </w:p>
    <w:p>
      <w:pPr>
        <w:spacing w:before="40" w:after="40"/>
        <w:ind w:left="283"/>
      </w:pPr>
      <w:r>
        <w:rPr>
          <w:rFonts w:ascii="Calibri" w:hAnsi="Calibri"/>
          <w:b/>
          <w:color w:val="4A6B25"/>
          <w:sz w:val="20"/>
        </w:rPr>
        <w:t xml:space="preserve">2. </w:t>
      </w:r>
      <w:r>
        <w:rPr>
          <w:rFonts w:ascii="Calibri" w:hAnsi="Calibri"/>
          <w:b w:val="0"/>
          <w:color w:val="3A4A28"/>
          <w:sz w:val="20"/>
        </w:rPr>
        <w:t>Australian Clinical Trial Application filing in 2026, which would validate the regulatory pathway and demonstrate that PRP meets the manufacturing and preclinical requirements for human dosing</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or licensing deal with a larger oncology pharmaceutical company if Phase 1b data is encouraging, which could provide non-dilutive funding and development expertise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dilution risk — the company will need to raise significant capital to fund the Phase 1b trial, and at $1.9M market cap and $0.85 share price, any equity raise will massively dilute existing shareholders [1]</w:t>
      </w:r>
    </w:p>
    <w:p>
      <w:pPr>
        <w:spacing w:before="40" w:after="40"/>
        <w:ind w:left="283"/>
      </w:pPr>
      <w:r>
        <w:rPr>
          <w:rFonts w:ascii="Calibri" w:hAnsi="Calibri"/>
          <w:b/>
          <w:color w:val="4A6B25"/>
          <w:sz w:val="20"/>
        </w:rPr>
        <w:t xml:space="preserve">2. </w:t>
      </w:r>
      <w:r>
        <w:rPr>
          <w:rFonts w:ascii="Calibri" w:hAnsi="Calibri"/>
          <w:b w:val="0"/>
          <w:color w:val="3A4A28"/>
          <w:sz w:val="20"/>
        </w:rPr>
        <w:t>Phase 1b failure probability of ~90% based on historical oncology clinical trial success rates, which would likely render the equity worthless given the single-asset pipeline with no diversification</w:t>
      </w:r>
    </w:p>
    <w:p>
      <w:pPr>
        <w:spacing w:before="40" w:after="40"/>
        <w:ind w:left="283"/>
      </w:pPr>
      <w:r>
        <w:rPr>
          <w:rFonts w:ascii="Calibri" w:hAnsi="Calibri"/>
          <w:b/>
          <w:color w:val="4A6B25"/>
          <w:sz w:val="20"/>
        </w:rPr>
        <w:t xml:space="preserve">3. </w:t>
      </w:r>
      <w:r>
        <w:rPr>
          <w:rFonts w:ascii="Calibri" w:hAnsi="Calibri"/>
          <w:b w:val="0"/>
          <w:color w:val="3A4A28"/>
          <w:sz w:val="20"/>
        </w:rPr>
        <w:t>Governance risk from CEO James Nathanielsz simultaneously serving as CFO and Executive Chairman with ~10 employees, creating single-point-of-failure risk and no organizational resilience if leadership is disrupted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and regulatory approval processes are structurally protected from AI disruption — the physical chemistry of PRP, GMP manufacturing, clinical trial conduct, and FDA/TGA regulatory submission requirements cannot be replaced by AI tools [1][3]. AI cannot perform Phase 1b dose escalation studies or generate the clinical safety data required for regulatory approval. The physical-world nature of pharmaceutical development (compound synthesis, patient dosing, safety monitoring) creates an immune business process. However, AI is accelerating competitor drug discovery in oncology — larger pharmaceutical companies using AI-driven target identification and molecule optimization could develop competing therapies for pancreatic and ovarian cancer faster, narrowing Propanc's window for first-in-class advantages. AI Opportunity (0/1): No evidence of AI-related revenue, AI-powered drug discovery tools, or computational drug design integration. The company's approach appears to be traditional proenzyme chemistry rather than AI-augmented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Propanc Biopharma Financial Results — FY2025 Net Loss $(58.9M), Pre-Revenue Status, PitchBook/Yahoo Finance/CompaniesMarketCap, 2025-2026</w:t>
      </w:r>
    </w:p>
    <w:p>
      <w:pPr>
        <w:spacing w:before="20" w:after="20"/>
        <w:ind w:left="170"/>
      </w:pPr>
      <w:r>
        <w:rPr>
          <w:rFonts w:ascii="Calibri" w:hAnsi="Calibri"/>
          <w:b/>
          <w:color w:val="4A6B25"/>
          <w:sz w:val="15"/>
        </w:rPr>
        <w:t xml:space="preserve">2. </w:t>
      </w:r>
      <w:r>
        <w:rPr>
          <w:rFonts w:ascii="Calibri" w:hAnsi="Calibri"/>
          <w:b w:val="0"/>
          <w:color w:val="3A4A28"/>
          <w:sz w:val="17"/>
        </w:rPr>
        <w:t>Propanc Biopharma Management Team — CEO/CFO/Chairman James Nathanielsz, Dr. Ralf Brandt Board Member, ir.propanc.com,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Propanc Biopharma Phase 1b PRP Study — World-First Phase 1b in Up to 50 Patients, February 2027 Start, Australian Clinical Trial Application 2026, Manila Times/StockTitan,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PPCB Key Statistics: $0.85 price, $1.9M Market Cap, -127% ROE, 5.3% D/E, 2.73M avg daily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