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PPG</w:t>
      </w:r>
      <w:r>
        <w:rPr>
          <w:rFonts w:ascii="Calibri" w:hAnsi="Calibri"/>
          <w:b/>
          <w:color w:val="1A2010"/>
          <w:sz w:val="40"/>
        </w:rPr>
        <w:t xml:space="preserve">  PPG Industries, Inc.</w:t>
      </w:r>
    </w:p>
    <w:p>
      <w:pPr>
        <w:spacing w:after="120"/>
      </w:pPr>
      <w:r>
        <w:rPr>
          <w:rFonts w:ascii="Calibri" w:hAnsi="Calibri"/>
          <w:b/>
          <w:color w:val="6E8450"/>
          <w:sz w:val="18"/>
        </w:rPr>
        <w:t>DIVIDEND SLEEVE · 2026-09-11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PPG Industries is a global leader in paints, coatings, and specialty materials, serving industrial, transportation (automotive OEM and refinish), aerospace, protective/marine, and architectural markets in more than 70 countries. Under Chairman and CEO Tim Knavish (CEO since January 2023), PPG reported Q2 2026 net sales of $4.495B (+7% YoY, +4% organic) and reaffirmed FY2026 adjusted EPS guidance of $7.70-$8.10 despite persistent raw material cost inflation [1].</w:t>
      </w:r>
    </w:p>
    <w:p>
      <w:r>
        <w:rPr>
          <w:rFonts w:ascii="Calibri" w:hAnsi="Calibri"/>
          <w:b/>
          <w:color w:val="6E8450"/>
          <w:sz w:val="18"/>
        </w:rPr>
        <w:t>44,700 Employees · https://www.ppg.com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PPG has reshaped its portfolio by divesting non-core businesses (including its US/Canada architectural coatings and silicas businesses in 2023-2024) to concentrate on higher-margin industrial, aerospace, and protective coatings — a meaningful but incremental strategic refocus rather than a transformative pivot. AI Deployment (2/2): PPG is deploying machine-learning models and digital twins to accelerate coatings formulation, reducing reliance on physical experimentation, and has launched 'PPG AIM AUTOMATE,' a shipping paint-shop performance software product for automotive customers [2]. Market Share (1/2): Management cited 'share gains across key segments' in Q2 2026 results, but no specific percentage figures were disclosed [1]. Product Pipeline (2/2): PPG has committed $300M to a global aerospace sealants/transparencies capacity modernization program through 2026 and $380M for a new aerospace facility in Shelby, North Carolina, scheduled for 2027 — specific, dated, dollar-quantified investments [2]. R&amp;D Intensity (0/1): No comparative R&amp;D-to-revenue figure versus specialty chemicals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PPG's purpose — 'to protect and beautify the world' — is specific and thoughtful, directly connecting the company's coatings business to a larger idea, and has been consistently used across seven decades of corporate communications [2]. Community Impact (2/2): The PPG Foundation, established in 1951 and marking its 75th anniversary in 2026, funds STEM education partnerships and community revitalization, and PPG operates matching-gift and volunteer-grant programs — a distinctive, historically deep philanthropic commitment [2]. Employee Retention (0/2): No specific tenure or turnover data was found. Insider Buying (0/2): No insider buying or selling data was identified in available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all core and dividend metrics. ROE of 19.30% exceeds the 15% target, Forward P/E of 12.76x is well below the 20x target, and PPG's status as a Dividend King is fully reflected in the dividend metrics: 55 consecutive years of both dividend payments and increases (both capped at the maximum score), a payout ratio of 42.35% near the 40% target, and a 5-year dividend growth CAGR of ~5.9%, just below the 6% target [source]. The primary drags are a profit margin of 9.57% (well below the 20% target) reflecting raw-material cost inflation that compressed Q2 2026 EBITDA margin from 18.5% to 17.4% YoY, D/E of 87% modestly above target, and a 5-year revenue CAGR of -1.42% reflecting limited organic growth since the 2021 post-COVID peak. The stock clears the liquidity floor comfortably (~$141M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PPG's 'protect and beautify the world' purpose, backed by 75 years of PPG Foundation community investment across multiple CEOs and market cycles, gives it a genuine if not fully distinctive Just Cause. Sinek would credit the multi-decade portfolio reshaping toward higher-value coatings and continued aerospace capex investment through a margin-pressured environment as evidence of some courage and adaptability, but would note the lack of any single transformative reinvention and the absence of specific evidence of deep organizational trust or a worthy-rivals competitive posture.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'Protect and beautify the world' is a genuine, distinctive purpose that has been referenced consistently across PPG's history and is backed by 75 years of PPG Foundation community investment, connecting the company's coatings business to something larger than commercial success [2]. It has not, however, been tested through a defining crisis or leadership transition in the way Sinek's top-tier examples have.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major layoff, turnover, or internal-culture controversy was identified in research, and the company promotes volunteer time off and matching-gift programs, but no specific evidence of exceptional employee tenure or psychological safety was found to justify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competitive commentary — either predatory or collaborative in tone — from PPG leadership toward rivals such as Sherwin-Williams or AkzoNobel was identified in available research.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PPG has reshaped its portfolio over decades, divesting commodity businesses (glass, fiberglass, and more recently US/Canada architectural coatings and silicas in 2023-2024) to concentrate on higher-margin industrial, aerospace, and protective coatings — meaningful adaptation, though evolutionary rather than a single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PPG continued committing significant capital ($300M aerospace capacity modernization, $380M new Shelby, NC facility) even as Q2 2026 EBITDA margin compressed from 18.5% to 17.4% YoY under raw material inflation, prioritizing long-term aerospace capacity over near-term margin protection [1]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PPG's Q2 2026 net sales of $4.495B (+7% YoY, +4% organic) beat consensus by 3.1%, and management reaffirmed FY2026 adjusted EPS guidance of $7.70-$8.10 despite raw material headwinds [1]. As a Dividend King with 55 consecutive years of dividend increases, a 42.35% payout ratio, and a Forward P/E of just 12.76x (PEG of 1.50), PPG offers a reasonably valued, income-generating way to own a global coatings leader with an ROE of 19.30%. Continued capital investment in aerospace capacity ($300M modernization program plus a new $380M Shelby, NC facility) positions PPG to capture commercial aerospace coatings demand as capacity comes online in 2026-2027 [2].</w:t>
      </w:r>
    </w:p>
    <w:p>
      <w:pPr>
        <w:spacing w:after="120"/>
      </w:pPr>
      <w:r>
        <w:rPr>
          <w:rFonts w:ascii="Calibri" w:hAnsi="Calibri"/>
          <w:b w:val="0"/>
          <w:color w:val="3A4A28"/>
          <w:sz w:val="20"/>
        </w:rPr>
        <w:t>The bear case centers on weak organic growth and margin pressure: the 5-year revenue CAGR of -1.42% shows PPG has not meaningfully grown its top line since the 2021 post-COVID peak, and profit margin of just 9.57% sits well below the 20% target as raw material inflation compressed Q2 2026 EBITDA margin from 18.5% to 17.4% YoY, with Q3 guidance calling for margins flat to down another 100bps [1]. PFAS 'forever chemicals' litigation is a growing tail risk — PPG still has at least three PFAS-family substances in its product portfolio and has already settled a Jersey City chromium contamination case for $5M and been found liable for Clean Water Act violations on the Allegheny River — as chemical-industry PFAS litigation accelerates broadly [3]. The Inspire Impact Score of -49 (MISALIGNED, driven by LGBT Activism) may also limit allocation for faith-based investors despite otherwise strong ESG practices.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Aerospace segment capacity investments ($300M modernization plus $380M Shelby, NC facility) coming online in 2026-2027 to meet commercial aerospace coatings and sealants demand [2]</w:t>
      </w:r>
    </w:p>
    <w:p>
      <w:pPr>
        <w:spacing w:before="40" w:after="40"/>
        <w:ind w:left="283"/>
      </w:pPr>
      <w:r>
        <w:rPr>
          <w:rFonts w:ascii="Calibri" w:hAnsi="Calibri"/>
          <w:b/>
          <w:color w:val="4A6B25"/>
          <w:sz w:val="20"/>
        </w:rPr>
        <w:t xml:space="preserve">2. </w:t>
      </w:r>
      <w:r>
        <w:rPr>
          <w:rFonts w:ascii="Calibri" w:hAnsi="Calibri"/>
          <w:b w:val="0"/>
          <w:color w:val="3A4A28"/>
          <w:sz w:val="20"/>
        </w:rPr>
        <w:t>Continued organic growth re-acceleration (Q2 2026: +7% net sales, +4% organic) if raw material cost pressures ease into H2 2026 [1]</w:t>
      </w:r>
    </w:p>
    <w:p>
      <w:pPr>
        <w:spacing w:before="40" w:after="40"/>
        <w:ind w:left="283"/>
      </w:pPr>
      <w:r>
        <w:rPr>
          <w:rFonts w:ascii="Calibri" w:hAnsi="Calibri"/>
          <w:b/>
          <w:color w:val="4A6B25"/>
          <w:sz w:val="20"/>
        </w:rPr>
        <w:t xml:space="preserve">3. </w:t>
      </w:r>
      <w:r>
        <w:rPr>
          <w:rFonts w:ascii="Calibri" w:hAnsi="Calibri"/>
          <w:b w:val="0"/>
          <w:color w:val="3A4A28"/>
          <w:sz w:val="20"/>
        </w:rPr>
        <w:t>A 56th consecutive annual dividend increase expected in 2027, reinforcing Dividend King status for income-focused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PFAS 'forever chemicals' litigation exposure — PPG retains multiple PFAS-family substances in its product portfolio amid accelerating industry-wide chemical litigation [3]</w:t>
      </w:r>
    </w:p>
    <w:p>
      <w:pPr>
        <w:spacing w:before="40" w:after="40"/>
        <w:ind w:left="283"/>
      </w:pPr>
      <w:r>
        <w:rPr>
          <w:rFonts w:ascii="Calibri" w:hAnsi="Calibri"/>
          <w:b/>
          <w:color w:val="4A6B25"/>
          <w:sz w:val="20"/>
        </w:rPr>
        <w:t xml:space="preserve">2. </w:t>
      </w:r>
      <w:r>
        <w:rPr>
          <w:rFonts w:ascii="Calibri" w:hAnsi="Calibri"/>
          <w:b w:val="0"/>
          <w:color w:val="3A4A28"/>
          <w:sz w:val="20"/>
        </w:rPr>
        <w:t>Margin compression from raw material inflation, with Q3 2026 guidance calling for adjusted EBITDA margin flat to down 100bps year over year [1]</w:t>
      </w:r>
    </w:p>
    <w:p>
      <w:pPr>
        <w:spacing w:before="40" w:after="40"/>
        <w:ind w:left="283"/>
      </w:pPr>
      <w:r>
        <w:rPr>
          <w:rFonts w:ascii="Calibri" w:hAnsi="Calibri"/>
          <w:b/>
          <w:color w:val="4A6B25"/>
          <w:sz w:val="20"/>
        </w:rPr>
        <w:t xml:space="preserve">3. </w:t>
      </w:r>
      <w:r>
        <w:rPr>
          <w:rFonts w:ascii="Calibri" w:hAnsi="Calibri"/>
          <w:b w:val="0"/>
          <w:color w:val="3A4A28"/>
          <w:sz w:val="20"/>
        </w:rPr>
        <w:t>Five-year revenue CAGR of -1.42% signals limited organic volume growth, making the equity story dependent on price/mix and margin recovery rather than genuine demand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PPG's core business — manufacturing and applying industrial and architectural coatings through physical chemistry and application processes — is a physical-world manufacturing business that AI cannot structurally displace. The company is deploying AI as a productivity enabler (machine-learning-driven formulation, digital twins reducing physical testing cycles) rather than facing substitution risk, and no analyst commentary was found flagging AI disruption to the coatings industry [2]. AI Opportunity (0/1): PPG's AI use is primarily internal R&amp;D/manufacturing productivity and customer-facing tools like PPG AIM AUTOMATE, but no separately quantified AI-attributable revenue figure was found.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PPG Industries Q2 2026 Earnings Release and Investor Call, July 2026</w:t>
      </w:r>
    </w:p>
    <w:p>
      <w:pPr>
        <w:spacing w:before="20" w:after="20"/>
        <w:ind w:left="170"/>
      </w:pPr>
      <w:r>
        <w:rPr>
          <w:rFonts w:ascii="Calibri" w:hAnsi="Calibri"/>
          <w:b/>
          <w:color w:val="4A6B25"/>
          <w:sz w:val="15"/>
        </w:rPr>
        <w:t xml:space="preserve">2. </w:t>
      </w:r>
      <w:r>
        <w:rPr>
          <w:rFonts w:ascii="Calibri" w:hAnsi="Calibri"/>
          <w:b w:val="0"/>
          <w:color w:val="3A4A28"/>
          <w:sz w:val="17"/>
        </w:rPr>
        <w:t>PPG.com — Innovation, AI and Digitalization, PPG Foundation 75th Anniversary, Our Culture,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ChemSec ChemScore / Business and Human Rights Resource Centre — PPG PFAS and Environmental Litigation History, 2021-2024</w:t>
      </w:r>
    </w:p>
    <w:p>
      <w:pPr>
        <w:spacing w:before="20" w:after="20"/>
        <w:ind w:left="170"/>
      </w:pPr>
      <w:r>
        <w:rPr>
          <w:rFonts w:ascii="Calibri" w:hAnsi="Calibri"/>
          <w:b/>
          <w:color w:val="4A6B25"/>
          <w:sz w:val="15"/>
        </w:rPr>
        <w:t xml:space="preserve">4. </w:t>
      </w:r>
      <w:r>
        <w:rPr>
          <w:rFonts w:ascii="Calibri" w:hAnsi="Calibri"/>
          <w:b w:val="0"/>
          <w:color w:val="3A4A28"/>
          <w:sz w:val="17"/>
        </w:rPr>
        <w:t>GuruFocus / Digrin — PPG Dividend Growth History,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PPG Statistics and Financials,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