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PPL</w:t>
      </w:r>
      <w:r>
        <w:rPr>
          <w:rFonts w:ascii="Calibri" w:hAnsi="Calibri"/>
          <w:b/>
          <w:color w:val="1A2010"/>
          <w:sz w:val="40"/>
        </w:rPr>
        <w:t xml:space="preserve">  PPL Corporation</w:t>
      </w:r>
    </w:p>
    <w:p>
      <w:pPr>
        <w:spacing w:after="120"/>
      </w:pPr>
      <w:r>
        <w:rPr>
          <w:rFonts w:ascii="Calibri" w:hAnsi="Calibri"/>
          <w:b/>
          <w:color w:val="6E8450"/>
          <w:sz w:val="18"/>
        </w:rPr>
        <w:t>DIVIDEND SLEEVE · 2026-10-10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NYQ · United States</w:t>
      </w:r>
    </w:p>
    <w:p>
      <w:pPr>
        <w:spacing w:after="80"/>
      </w:pPr>
      <w:r>
        <w:rPr>
          <w:rFonts w:ascii="Calibri" w:hAnsi="Calibri"/>
          <w:b w:val="0"/>
          <w:color w:val="3A4A28"/>
          <w:sz w:val="20"/>
        </w:rPr>
        <w:t>PPL Corporation provides electricity and natural gas to approximately 3.6 million customers in the United States through regulated utility segments in Kentucky, Pennsylvania, and Rhode Island. The company generates, transmits, distributes, and sells electricity from coal, gas, hydro, and solar sources. CEO Vincent Sorgi has led the company since 2020, overseeing the $10.4B divestiture of UK operations (WPD) and acquisition of Rhode Island Energy to refocus as a pure-play US regulated utility. Q2 2026 reported EPS of $0.33, with reaffirmed 2026 ongoing EPS guidance of $1.90-$1.98 and 6-8% EPS growth through 2029. Founded 1920, headquartered in Allentown, Pennsylvania.</w:t>
      </w:r>
    </w:p>
    <w:p>
      <w:r>
        <w:rPr>
          <w:rFonts w:ascii="Calibri" w:hAnsi="Calibri"/>
          <w:b/>
          <w:color w:val="6E8450"/>
          <w:sz w:val="18"/>
        </w:rPr>
        <w:t>6,546 Employees · https://www.pplweb.com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PPL's most significant strategic move was the 2021 divestiture of Western Power Distribution for $10.4B and the 2022 acquisition of Narragansett Electric (Rhode Island Energy), refocusing as a pure-play US regulated utility [1]. This was meaningful portfolio restructuring but not a product innovation or business model transformation. Grid modernization investments are incremental and industry-standard. AI Deployment (1/2): PPL appointed Dean Del Vecchio as Chief Technology and Innovation Officer in 2024, focused on deploying AI, automation, and data analytics to deliver the clean energy transition safely and affordably [4]. CEO Sorgi has presented on utility transformation in the age of AI. However, no specific AI products are shipping and no quantified efficiency gains have been reported. Market Share (1/2): PPL serves 3.6 million customers with regulated monopoly positions across three states — market share is regulatory-determined rather than competitively won, but the company holds meaningful positions in Pennsylvania's growing data center corridor [1]. Product Pipeline (1/2): PPL targets approximately $23B in capital investment through 2029, generating 10.3% average annual rate base growth with 6-8% EPS growth guidance, though no transformative next-generation products exist beyond standard utility grid modernization [1][3]. R&amp;D Intensity (0/1): Regulated utilities spend minimal on traditional R&amp;D; innovation occurs through capital deployment in grid infrastructure rather than research programs.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PPL's purpose centers on providing safe, reliable, affordable energy while advancing the clean energy transition [3]. This is clear and identifies what the company does and for whom, but is interchangeable with virtually every regulated utility in the US. The 106-year operating history demonstrates consistency of service, but the articulation lacks distinctiveness. Community Impact (1/2): PPL invested $199.8M in electric energy efficiency initiatives in 2024 (+7.4% YoY), resulting in 434,100 MWh of electricity saved and 78 MW of peak demand reduction, and targets 95% reduction in Scope 1 and 2 emissions by 2050 [5]. These are meaningful but largely mandated by regulatory requirements. Employee Retention (1/2): CEO Sorgi joined PPL in 2006 (20-year tenure) with 25+ years of utility experience, and the leadership team shows long tenures consistent with regulated utility culture [4]. However, employee sentiment data suggests room for improvement, and no specific voluntary turnover or tenure data distinguishes PPL from peers. Insider Buying (0/2): No evidence of meaningful open-market insider purchases by CEO Sorgi or other executives in the last 12 months; insider activity is limited to compensation-plan transactions and a stock gift of 33,000 shares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Forward P/E of 16.16 scores at maximum (1.0), reflecting attractive valuation for a utility with 6-8% growth [1]. D/E of 135.4% scores 0.72 — elevated but within utility norms given capital-intensive regulated model with guaranteed returns [3]. ROE of 8.6% scores 0.58, structurally constrained by regulated allowed returns of 9-10%. Revenue growth YoY of 4.2% scores 0.81, and estimated 3yr revenue CAGR of 4.6% scores 0.64 [1][2]. Profit margin of 13.5% scores 0.67. Dividend metrics are mixed: 41 consecutive years of payment scores at maximum (2x weight), but only 4 consecutive years of growth post-2021 cut scores 0.40, payout ratio of 65.98% scores 0.57, and the 5-year dividend growth CAGR of -7.3% scores zero (2x weight) due to the WPD divestiture dividend reset [3]. The negative 5-year CAGR with 2x weight is the primary drag. Weighted sum: 7.37/12 = 6/10. Liquidity cleared: 7.5M avg daily volume x $34.25 = $257M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PPL Corporation demonstrates solid infinite-game fundamentals as a 106-year-old regulated utility with 41 consecutive years of dividends and long-tenured leadership committed to essential public service. The regulated utility model inherently supports infinite thinking — serving customers reliably for decades regardless of quarterly fluctuations. The 2021 UK divestiture and dividend cut, while strategically sound, disrupted continuity. PPL plays a reliable but uninspiring infinite game, grounded in operational consistency rather than transformative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PPL's purpose — safe, reliable, affordable energy delivery with clean energy transition — is genuine but interchangeable with every other regulated utility [3]. The cause is more of an operational mandate than an inspirational vision that inspires sacrifice. The company has served communities since 1920 (106 years), demonstrating extraordinary consistency of purpose even if the articulation is generic. The net-zero by 2050 target is now industry-standard rather than differentiating.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PPL's 6,546-employee organization operates within the traditionally stable culture of a regulated utility, and CEO Sorgi's 20-year tenure with the company suggests institutional loyalty [4]. Leadership continuity is strong with long-tenured executives. However, employee satisfaction data suggests the organization scores below average for companies of similar size on leadership quality, raising questions about psychological safety beneath surface stability. No specific voluntary turnover data is available to distinguish PPL from peers.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PPL benchmarks itself against utility peers (NextEra Energy, Duke Energy, Southern Company) on operational excellence, grid reliability, and clean energy progress [1]. CEO Sorgi's focus on achieving top-quartile reliability and customer satisfaction metrics reflects a self-improvement orientation. The company's technology adoption strategy is explicitly motivated by learning from best-in-class operators rather than competitive warfare in a regulated monopoly context.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2021 sale of WPD and acquisition of Rhode Island Energy transformed PPL from a transatlantic utility into a focused US regulated operator [1]. Selling a profitable, established UK business to concentrate on US infrastructure and data center demand growth required strategic conviction. However, PPL remains fundamentally the same type of business (regulated electric utility) in a different geography — evolution, not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2021 sale of Western Power Distribution for $10.4B and simultaneous dividend cut from $1.66 to $0.90 annualized was a significant strategic decision with real short-term costs — income investors were alienated and the stock underperformed peers during the transition [1][3]. The reinvestment in US regulated utilities and Rhode Island Energy acquisition demonstrated willingness to sacrifice near-term earnings stability for long-term geographic focus. However, this was a single portfolio restructuring event, not a pattern of courageous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PPL Corporation at $34.25 with a $25.8B market cap is a well-positioned regulated utility offering a compelling total return profile. Forward P/E of 16.16x is attractive for a utility projecting 6-8% EPS growth through 2029, and the 3.33% dividend yield with ongoing increases provides 9-11% total return potential [1][3]. Q2 2026 ongoing EPS of $0.33 and reaffirmed full-year guidance of $1.90-$1.98 demonstrate steady execution. The $23B capital plan through 2029 generates 10.3% average annual rate base growth, with AI data center demand providing a secular tailwind in PPL's Pennsylvania service territory [1][4]. CEO Sorgi's 20-year tenure and the CTO/CIO appointment signal proactive positioning for grid modernization and technology-enabled operations. The balance sheet post-UK divestiture provides a clean platform for disciplined growth.</w:t>
      </w:r>
    </w:p>
    <w:p>
      <w:pPr>
        <w:spacing w:after="120"/>
      </w:pPr>
      <w:r>
        <w:rPr>
          <w:rFonts w:ascii="Calibri" w:hAnsi="Calibri"/>
          <w:b w:val="0"/>
          <w:color w:val="3A4A28"/>
          <w:sz w:val="20"/>
        </w:rPr>
        <w:t>The bear case centers on regulated utility structural constraints and dividend credibility. D/E of 135.4% reflects heavy leverage required for capital deployment, and negative free cash flow of approximately -$1.9B indicates capex exceeds cash generation, requiring continued capital market access that rising interest rates would make more expensive [3]. ROE of 8.6% is structurally constrained by regulated allowed returns of 9-10%, limiting upside even as AI drives demand. The 2021 dividend cut from $1.66 to $0.90 broke a multi-decade growth streak — only 4 consecutive years of growth since the reset and a 5-year dividend growth CAGR of -7.3% limit credibility versus peers like NEE or SO with unbroken decades-long records [3]. PPL's Kentucky segment includes coal-fired generation facing long-term stranded asset risk as clean energy economics improve [5]. Revenue growth of 4.2% YoY is modest, and organic growth in regulated territories is ultimately capped by rate commission approvals. The Inspire Impact Score of -49 (MISALIGNED) may limit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Reaffirmed 6-8% EPS growth through 2029 with management targeting the top end, driven by $23B capital plan generating 10.3% average annual rate base growth in grid modernization and transmission [1][3]</w:t>
      </w:r>
    </w:p>
    <w:p>
      <w:pPr>
        <w:spacing w:before="40" w:after="40"/>
        <w:ind w:left="283"/>
      </w:pPr>
      <w:r>
        <w:rPr>
          <w:rFonts w:ascii="Calibri" w:hAnsi="Calibri"/>
          <w:b/>
          <w:color w:val="4A6B25"/>
          <w:sz w:val="20"/>
        </w:rPr>
        <w:t xml:space="preserve">2. </w:t>
      </w:r>
      <w:r>
        <w:rPr>
          <w:rFonts w:ascii="Calibri" w:hAnsi="Calibri"/>
          <w:b w:val="0"/>
          <w:color w:val="3A4A28"/>
          <w:sz w:val="20"/>
        </w:rPr>
        <w:t>AI data center demand tailwind — Pennsylvania is a key US data center corridor and PPL's transmission infrastructure directly benefits from new facility interconnection, load growth, and incremental rate base investment [4]</w:t>
      </w:r>
    </w:p>
    <w:p>
      <w:pPr>
        <w:spacing w:before="40" w:after="40"/>
        <w:ind w:left="283"/>
      </w:pPr>
      <w:r>
        <w:rPr>
          <w:rFonts w:ascii="Calibri" w:hAnsi="Calibri"/>
          <w:b/>
          <w:color w:val="4A6B25"/>
          <w:sz w:val="20"/>
        </w:rPr>
        <w:t xml:space="preserve">3. </w:t>
      </w:r>
      <w:r>
        <w:rPr>
          <w:rFonts w:ascii="Calibri" w:hAnsi="Calibri"/>
          <w:b w:val="0"/>
          <w:color w:val="3A4A28"/>
          <w:sz w:val="20"/>
        </w:rPr>
        <w:t>Attractive total return at 16.16x forward P/E with 3.33% dividend yield, providing 9-11% annual total return potential (3.3% yield + 6-8% EPS growth) with improving dividend credibility as consecutive growth years accumulate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Heavy leverage at 135.4% D/E and negative free cash flow require continued capital market access for growth capex; rising interest rates would increase borrowing costs and directly pressure earnings growth trajectory [3]</w:t>
      </w:r>
    </w:p>
    <w:p>
      <w:pPr>
        <w:spacing w:before="40" w:after="40"/>
        <w:ind w:left="283"/>
      </w:pPr>
      <w:r>
        <w:rPr>
          <w:rFonts w:ascii="Calibri" w:hAnsi="Calibri"/>
          <w:b/>
          <w:color w:val="4A6B25"/>
          <w:sz w:val="20"/>
        </w:rPr>
        <w:t xml:space="preserve">2. </w:t>
      </w:r>
      <w:r>
        <w:rPr>
          <w:rFonts w:ascii="Calibri" w:hAnsi="Calibri"/>
          <w:b w:val="0"/>
          <w:color w:val="3A4A28"/>
          <w:sz w:val="20"/>
        </w:rPr>
        <w:t>Dividend credibility impaired by the 2021 cut — only 4 consecutive years of growth and a 5-year CAGR of -7.3% contrast poorly against utility peers with unbroken decades-long dividend growth records [3]</w:t>
      </w:r>
    </w:p>
    <w:p>
      <w:pPr>
        <w:spacing w:before="40" w:after="40"/>
        <w:ind w:left="283"/>
      </w:pPr>
      <w:r>
        <w:rPr>
          <w:rFonts w:ascii="Calibri" w:hAnsi="Calibri"/>
          <w:b/>
          <w:color w:val="4A6B25"/>
          <w:sz w:val="20"/>
        </w:rPr>
        <w:t xml:space="preserve">3. </w:t>
      </w:r>
      <w:r>
        <w:rPr>
          <w:rFonts w:ascii="Calibri" w:hAnsi="Calibri"/>
          <w:b w:val="0"/>
          <w:color w:val="3A4A28"/>
          <w:sz w:val="20"/>
        </w:rPr>
        <w:t>Kentucky coal-fired generation faces long-term stranded asset risk as renewable economics improve and potential future carbon regulations could require accelerated retirements with uncertain ratepayer recovery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PPL's regulated utility business is structurally immune to AI disruption. Electricity transmission and distribution requires physical infrastructure — poles, wires, transformers, substations — that AI cannot replace [4]. PPL holds regulated monopoly positions providing guaranteed customer bases and allowed returns set by state commissions regardless of technology changes. AI expansion is a direct demand tailwind: every new AI data center in Pennsylvania, Kentucky, or Rhode Island requires electricity, and PPL's transmission network is essential for delivering it. CEO Sorgi has positioned PPL to benefit from AI-driven load growth in Pennsylvania's data center corridor [1][4]. The sole limitation is that regulated returns structurally cap upside even as AI drives demand. AI Opportunity (1/1): PPL generates incremental revenue from AI-driven electricity demand in its Pennsylvania service territory, a key US data center corridor. New data center interconnections create rate base growth and revenue that would not exist without AI expansion, providing a quantifiable AI-related revenue contribution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PPL Corporation Q2 2026 Earnings Release — Ongoing EPS $0.33, Revenue $2.11B (+4.2% YoY), 2026 EPS Guidance $1.90-$1.98 Reaffirmed, 6-8% Growth Through 2029 — SEC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PPL Corporation Q1 2026 Earnings Release — Revenue $2.77B, EPS $0.60, Capital Plan $23B Through 2029, 10.3% Rate Base Growth — May 2026</w:t>
      </w:r>
    </w:p>
    <w:p>
      <w:pPr>
        <w:spacing w:before="20" w:after="20"/>
        <w:ind w:left="170"/>
      </w:pPr>
      <w:r>
        <w:rPr>
          <w:rFonts w:ascii="Calibri" w:hAnsi="Calibri"/>
          <w:b/>
          <w:color w:val="4A6B25"/>
          <w:sz w:val="15"/>
        </w:rPr>
        <w:t xml:space="preserve">3. </w:t>
      </w:r>
      <w:r>
        <w:rPr>
          <w:rFonts w:ascii="Calibri" w:hAnsi="Calibri"/>
          <w:b w:val="0"/>
          <w:color w:val="3A4A28"/>
          <w:sz w:val="17"/>
        </w:rPr>
        <w:t>PPL Corporation Financial Data — Forward P/E 16.16x, D/E 135.4%, ROE 8.6%, Dividend Yield 3.33%, Payout Ratio 66%, 41 Years Paid — Yahoo Finance, yfinance,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PPL Corporation Leadership and Technology Strategy — CEO Vincent Sorgi (20-year tenure), CTO Dean Del Vecchio AI/Automation Focus, Data Center Growth Positioning — PPL Corporate, 2024-2026</w:t>
      </w:r>
    </w:p>
    <w:p>
      <w:pPr>
        <w:spacing w:before="20" w:after="20"/>
        <w:ind w:left="170"/>
      </w:pPr>
      <w:r>
        <w:rPr>
          <w:rFonts w:ascii="Calibri" w:hAnsi="Calibri"/>
          <w:b/>
          <w:color w:val="4A6B25"/>
          <w:sz w:val="15"/>
        </w:rPr>
        <w:t xml:space="preserve">5. </w:t>
      </w:r>
      <w:r>
        <w:rPr>
          <w:rFonts w:ascii="Calibri" w:hAnsi="Calibri"/>
          <w:b w:val="0"/>
          <w:color w:val="3A4A28"/>
          <w:sz w:val="17"/>
        </w:rPr>
        <w:t>PPL Corporation ESG Profile — $199.8M Energy Efficiency Investment, Net-Zero 2050 Target, Sustainalytics Moderate Controversy Level, Coal Generation Transition Risk — PPL Sustainability Reports, Sustainalytics,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