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PRCH</w:t>
      </w:r>
      <w:r>
        <w:rPr>
          <w:rFonts w:ascii="Calibri" w:hAnsi="Calibri"/>
          <w:b/>
          <w:color w:val="1A2010"/>
          <w:sz w:val="40"/>
        </w:rPr>
        <w:t xml:space="preserve">  Porch Group, Inc.</w:t>
      </w:r>
    </w:p>
    <w:p>
      <w:pPr>
        <w:spacing w:after="120"/>
      </w:pPr>
      <w:r>
        <w:rPr>
          <w:rFonts w:ascii="Calibri" w:hAnsi="Calibri"/>
          <w:b/>
          <w:color w:val="6E8450"/>
          <w:sz w:val="18"/>
        </w:rPr>
        <w:t>GROWTH SLEEVE · 2026-09-18 · Inspire: 41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Insurance - Property &amp; Casualty · NASDAQ · United States</w:t>
      </w:r>
    </w:p>
    <w:p>
      <w:pPr>
        <w:spacing w:after="80"/>
      </w:pPr>
      <w:r>
        <w:rPr>
          <w:rFonts w:ascii="Calibri" w:hAnsi="Calibri"/>
          <w:b w:val="0"/>
          <w:color w:val="3A4A28"/>
          <w:sz w:val="20"/>
        </w:rPr>
        <w:t>Porch Group is a vertical software and insurance platform company serving the homeownership ecosystem. The company operates across Insurance Services ($92.9M Q2 revenue, +38% YoY), Software &amp; Data ($23.1M), and Consumer Services ($18.1M), managing Porch Reciprocal Exchange for homeowners insurance. Under CEO Matt Ehrlichman, Porch transformed from a home services marketplace into an insurance-first platform leveraging proprietary data on 90%+ of U.S. properties. Q2 2026 Porch-owned revenue reached $131.8M (+23% YoY) with adjusted EBITDA of $39.1M (+150% YoY). Market cap approximately $1.8B.</w:t>
      </w:r>
    </w:p>
    <w:p>
      <w:r>
        <w:rPr>
          <w:rFonts w:ascii="Calibri" w:hAnsi="Calibri"/>
          <w:b/>
          <w:color w:val="6E8450"/>
          <w:sz w:val="18"/>
        </w:rPr>
        <w:t>800 Employees · https://porchgroup.com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Porch executed a transformative pivot from home services marketplace to vertically integrated insurance and data platform, now generating $131.8M Porch-owned revenue in Q2 2026 (+23% YoY) with Insurance Services growing 38% to $92.9M [1]. Agency branch locations surged 148% YoY and quote volumes rose 87%, demonstrating expanding commercial reach. The reciprocal exchange model is distinctive. AI Deployment (1/2): The Home Factors AI platform analyzes 100+ data attributes across 90%+ of U.S. properties for insurance underwriting and marketing, contributing to 206% new customer reciprocal written premium growth in Q2 [1]. However, no separately quantified AI-specific revenue or cost savings have been disclosed. Market Share (1/2): Porch wrote 58,700 reciprocal policies in Q2 (+38% YoY) with $139.8M in reciprocal written premium, gaining share in data-driven homeowners insurance, but remains a niche player against Progressive, Allstate, and insurtechs like Lemonade and Hippo [1]. Product Pipeline (1/2): Raised 2026 guidance to $506-517M Porch-owned revenue (+21-23% YoY) and $119-125M adjusted EBITDA, with clear growth trajectory and expanding agency footprint, but no specific named next-gen product launches disclosed [1]. R&amp;D Intensity (0/1): Moderate for an insurance/tech hybrid; not materially above industry-average R&amp;D investment relative to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Porch's purpose of 'helping people with one of the most important assets they'll ever own — their home' identifies a clear constituency and connects technology to homeownership, but is not distinctive among home services or insurtech competitors and does not articulate a transformative vision [2]. Community Impact (0/2): No charitable programs or community investment identified beyond generic ESG reporting. The U.S. Department of Labor found in June 2024 that Porch Group subsidiary American Home Protect fired an employee who reported deceptive practices regarding delayed customer refunds, violating whistleblower protections — a governance concern [3]. Employee Retention (1/2): Porch has been certified Great Place to Work four consecutive years through 2025, and Glassdoor rates 3.6/5 for culture and values [2]. However, reviews are mixed with criticism of communication gaps between C-level and VP-level leadership, and the whistleblower termination undermines trust claims. Insider Buying (0/2): No evidence of meaningful net insider buying by CEO Ehrlichman or other executives.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 metrics (PEG unavailable, excluded). Porch's strongest metrics are revenue growth — 11.7% TTM YoY and approximately 16% 5yr revenue CAGR — both scoring at target levels [1][4]. Forward P/E of 43.19x scores 0.42 (below target but above floor of 60x), reflecting the early-stage profitability inflection. The critical drags are extreme D/E of 2,092% (scoring 0) from $475.1M in convertible notes ($333.3M at 6.75%, $134M at 9.00%) against a stockholders' deficit of $11.8M, negative ROE of -103.3% (scoring 0 with 2x weight), and negative profit margin of -2.6% (scoring 0) [1][4]. The company achieved positive net income of $5.6M in Q2 2026 (vs. $2.6M prior year) with adjusted EBITDA surging 150% to $39.1M, demonstrating progress toward sustained profitability but not yet reflected in trailing metrics. Liquidity floor cleared: 1,721,376 avg volume x $15.98 = $27.5M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Porch demonstrates entrepreneurial flexibility through its marketplace-to-insurance pivot and genuine courage in entering a highly regulated industry. However, the DOL whistleblower finding, extreme leverage, rapid business model pivots that suggest opportunity-chasing over fixed purpose, and finite competitive language keep the company in Sinek's finite game category. The question remains whether Porch is built to endure or racing to establish scale before capital constraints bind.</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Porch's cause of helping homeowners navigate complexity connects technology to a genuine consumer need [2]. However, the company has pivoted multiple times — marketplace to software to insurance — suggesting the strategy follows opportunity rather than a fixed purpose. Sinek would question whether the cause drives strategy or strategy redefines the cause. The DOL whistleblower finding (employee fired for reporting deceptive refund practices at subsidiary) undermines claims of purpose-driven operation [3].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Porch has been certified Great Place to Work four consecutive years and Glassdoor rates 3.6/5, suggesting adequate organizational trust [2]. CEO Ehrlichman conducts weekly all-hands meetings that employees praise for transparency. However, the DOL whistleblower finding at subsidiary American Home Protect — where an employee was fired for reporting deceptive customer refund practices — is antithetical to Sinek's Circle of Safety and suggests institutional willingness to punish internal dissent rather than address concerns [3].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Porch positions itself as a unique vertical integrator combining software, data, and insurance — implicitly dismissing direct comparison with larger P&amp;C insurers or pure-play insurtechs [2]. No evidence was found of management acknowledging competitors' strengths as motivation for self-improvement. This framing risks finite-game blind spots about competitive threats from traditional insurers scaling AI and better-capitalized insurtechs.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pivot from home services marketplace to vertically integrated insurance platform represents genuine strategic flexibility — fundamentally reinventing the business model from lead generation to risk underwriting [1]. Q2 2026 Insurance Services revenue of $92.9M (+38% YoY) validates the shift. However, the pivot was partly driven by the marketplace model's failure to achieve profitability rather than a cause-driven transformation, suggesting reactive adaptation rather than proactive reinvention in service of a Just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Entering the highly regulated P&amp;C insurance industry as a small technology company required genuine courage — sustaining years of losses, building a reciprocal exchange with $169.9M statutory surplus (+33% YoY), and taking on $475.1M in convertible debt to fund the transition [1]. The raised 2026 guidance of $119-125M adjusted EBITDA suggests the bet is paying off. However, courage was funded by expensive debt (9.00% and 6.75% coupons) rather than organic conviction, and the whistleblower retaliation suggests integrity was not uniformly maintained.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Porch Group is executing an accelerating margin inflection, with Q2 2026 Porch-owned revenue of $131.8M (+23% YoY), Insurance Services surging 38% to $92.9M, and adjusted EBITDA leaping 150% to $39.1M [1]. Reciprocal written premium reached $139.8M with 58,700 policies written (+38% YoY), while agency branches expanded 148% and quote volumes jumped 87%, demonstrating compounding distribution scale. The company achieved $5.6M net income attributable to Porch in Q2 versus $2.6M prior year, signaling sustained GAAP profitability. Raised 2026 guidance of $506-517M Porch-owned revenue and $119-125M adjusted EBITDA (+55-63%) provides substantial visibility. The Home Factors data moat covering 90%+ of U.S. properties creates a differentiated underwriting advantage that improves with scale.</w:t>
      </w:r>
    </w:p>
    <w:p>
      <w:pPr>
        <w:spacing w:after="120"/>
      </w:pPr>
      <w:r>
        <w:rPr>
          <w:rFonts w:ascii="Calibri" w:hAnsi="Calibri"/>
          <w:b w:val="0"/>
          <w:color w:val="3A4A28"/>
          <w:sz w:val="20"/>
        </w:rPr>
        <w:t>The bear case centers on existential balance sheet risk and governance concerns. D/E of 2,092% from $475.1M in convertible notes ($333.3M at 6.75%, $134M at 9.00%) against a stockholders' deficit of $11.8M creates extreme financial fragility — any insurance catastrophe loss, reinsurance repricing, or capital markets disruption could overwhelm the thin equity base [1][4]. Forward P/E of 43.19x prices in substantial earnings growth from a company that posted -103% ROE and -2.6% profit margin on a trailing basis. The DOL's June 2024 finding that Porch subsidiary American Home Protect fired a whistleblower who reported deceptive customer refund practices raises governance red flags [3]. The 2023 Vesttoo letter-of-credit scandal (40%+ stock decline) demonstrated the tail risks embedded in the insurance model. Competition from well-capitalized traditional insurers deploying AI at scale limits long-term pricing power. The Inspire Impact Score of 41 (ALIGNED) supports faith-based allocation but the whistleblower finding creates tension.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Sustained GAAP profitability with Q2 net income of $5.6M and raised adjusted EBITDA guidance of $119-125M for 2026, with potential for accelerating earnings as Insurance Services operating margins expand to 32% of reciprocal written premium [1]</w:t>
      </w:r>
    </w:p>
    <w:p>
      <w:pPr>
        <w:spacing w:before="40" w:after="40"/>
        <w:ind w:left="283"/>
      </w:pPr>
      <w:r>
        <w:rPr>
          <w:rFonts w:ascii="Calibri" w:hAnsi="Calibri"/>
          <w:b/>
          <w:color w:val="4A6B25"/>
          <w:sz w:val="20"/>
        </w:rPr>
        <w:t xml:space="preserve">2. </w:t>
      </w:r>
      <w:r>
        <w:rPr>
          <w:rFonts w:ascii="Calibri" w:hAnsi="Calibri"/>
          <w:b w:val="0"/>
          <w:color w:val="3A4A28"/>
          <w:sz w:val="20"/>
        </w:rPr>
        <w:t>Reciprocal exchange compounding with 58,700 policies written (+38% YoY), 148% agency branch expansion, and 206% new customer RWP growth creating a flywheel of premium volume that improves data quality and underwriting accuracy [1]</w:t>
      </w:r>
    </w:p>
    <w:p>
      <w:pPr>
        <w:spacing w:before="40" w:after="40"/>
        <w:ind w:left="283"/>
      </w:pPr>
      <w:r>
        <w:rPr>
          <w:rFonts w:ascii="Calibri" w:hAnsi="Calibri"/>
          <w:b/>
          <w:color w:val="4A6B25"/>
          <w:sz w:val="20"/>
        </w:rPr>
        <w:t xml:space="preserve">3. </w:t>
      </w:r>
      <w:r>
        <w:rPr>
          <w:rFonts w:ascii="Calibri" w:hAnsi="Calibri"/>
          <w:b w:val="0"/>
          <w:color w:val="3A4A28"/>
          <w:sz w:val="20"/>
        </w:rPr>
        <w:t>Balance sheet deleveraging as statutory surplus grew 33% to $169.9M and profitability improves — potential to refinance expensive 9.00% convertible notes at lower rates if credit profile strengthens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D/E of 2,092% with $475.1M in convertible notes against a stockholders' deficit of $11.8M creates existential balance sheet fragility — any material insurance catastrophe loss, reinsurance repricing, or capital markets disruption could be fatal [1][4]</w:t>
      </w:r>
    </w:p>
    <w:p>
      <w:pPr>
        <w:spacing w:before="40" w:after="40"/>
        <w:ind w:left="283"/>
      </w:pPr>
      <w:r>
        <w:rPr>
          <w:rFonts w:ascii="Calibri" w:hAnsi="Calibri"/>
          <w:b/>
          <w:color w:val="4A6B25"/>
          <w:sz w:val="20"/>
        </w:rPr>
        <w:t xml:space="preserve">2. </w:t>
      </w:r>
      <w:r>
        <w:rPr>
          <w:rFonts w:ascii="Calibri" w:hAnsi="Calibri"/>
          <w:b w:val="0"/>
          <w:color w:val="3A4A28"/>
          <w:sz w:val="20"/>
        </w:rPr>
        <w:t>DOL whistleblower finding that Porch subsidiary fired an employee for reporting deceptive customer refund practices raises governance and compliance risk, particularly for faith-aligned investors who rely on the Inspire ALIGNED rating [3]</w:t>
      </w:r>
    </w:p>
    <w:p>
      <w:pPr>
        <w:spacing w:before="40" w:after="40"/>
        <w:ind w:left="283"/>
      </w:pPr>
      <w:r>
        <w:rPr>
          <w:rFonts w:ascii="Calibri" w:hAnsi="Calibri"/>
          <w:b/>
          <w:color w:val="4A6B25"/>
          <w:sz w:val="20"/>
        </w:rPr>
        <w:t xml:space="preserve">3. </w:t>
      </w:r>
      <w:r>
        <w:rPr>
          <w:rFonts w:ascii="Calibri" w:hAnsi="Calibri"/>
          <w:b w:val="0"/>
          <w:color w:val="3A4A28"/>
          <w:sz w:val="20"/>
        </w:rPr>
        <w:t>Forward P/E of 43.19x on trailing -103% ROE and -2.6% profit margin requires the profitability inflection to sustain and accelerate — any earnings disappointment could trigger severe multiple compression given the leveraged capital structure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Porch's core insurance business has meaningful defensive moats — state-by-state regulatory compliance, licensed agent/adjuster requirements, actuarial oversight, capital reserve mandates, and the physical nature of property claims create structural barriers AI cannot easily displace [1]. The Home Factors proprietary data platform covering 90%+ of U.S. properties provides a data moat for underwriting. However, larger carriers (Progressive, Allstate) are deploying AI at greater scale for underwriting and claims processing, and insurtechs (Lemonade, Hippo) use AI-first models that could commoditize Porch's data advantage over time. The Software &amp; Data segment (inspection, mortgage, title tools) faces moderate AI automation risk as document processing becomes commoditized. AI Opportunity (1/1): The Home Factors AI platform generates insurance-associated revenue through data-driven underwriting and targeted marketing, contributing to 206% new customer reciprocal written premium growth and 87% quote volume increases in Q2 2026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Porch Group Q2 2026 Earnings Release — Porch-Owned Revenue $131.8M (+23%), Insurance Services $92.9M (+38%), Adjusted EBITDA $39.1M (+150%), Net Income $5.6M, 58,700 Policies Written, Raised 2026 Guidance $506-517M Revenue / $119-125M EBITDA, July 2026</w:t>
      </w:r>
    </w:p>
    <w:p>
      <w:pPr>
        <w:spacing w:before="20" w:after="20"/>
        <w:ind w:left="170"/>
      </w:pPr>
      <w:r>
        <w:rPr>
          <w:rFonts w:ascii="Calibri" w:hAnsi="Calibri"/>
          <w:b/>
          <w:color w:val="4A6B25"/>
          <w:sz w:val="15"/>
        </w:rPr>
        <w:t xml:space="preserve">2. </w:t>
      </w:r>
      <w:r>
        <w:rPr>
          <w:rFonts w:ascii="Calibri" w:hAnsi="Calibri"/>
          <w:b w:val="0"/>
          <w:color w:val="3A4A28"/>
          <w:sz w:val="17"/>
        </w:rPr>
        <w:t>Porch Group Corporate Website, CEO Matt Ehrlichman, Glassdoor Reviews (3.6/5), Great Place to Work 2025, Home Factors AI Platform,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U.S. Department of Labor / OSHA Whistleblower Finding — American Home Protect and Porch Group Employee Retaliation for Reporting Deceptive Refund Practices, June 20, 2024</w:t>
      </w:r>
    </w:p>
    <w:p>
      <w:pPr>
        <w:spacing w:before="20" w:after="20"/>
        <w:ind w:left="170"/>
      </w:pPr>
      <w:r>
        <w:rPr>
          <w:rFonts w:ascii="Calibri" w:hAnsi="Calibri"/>
          <w:b/>
          <w:color w:val="4A6B25"/>
          <w:sz w:val="15"/>
        </w:rPr>
        <w:t xml:space="preserve">4. </w:t>
      </w:r>
      <w:r>
        <w:rPr>
          <w:rFonts w:ascii="Calibri" w:hAnsi="Calibri"/>
          <w:b w:val="0"/>
          <w:color w:val="3A4A28"/>
          <w:sz w:val="17"/>
        </w:rPr>
        <w:t>Yahoo Finance — PRCH Key Statistics: Forward P/E 43.19x, D/E 2,091.68%, ROE -103.32%, Profit Margin -2.62%, Stock Price $15.98,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