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PR</w:t>
      </w:r>
      <w:r>
        <w:rPr>
          <w:rFonts w:ascii="Calibri" w:hAnsi="Calibri"/>
          <w:b/>
          <w:color w:val="1A2010"/>
          <w:sz w:val="40"/>
        </w:rPr>
        <w:t xml:space="preserve">  Permian Resources Corporation</w:t>
      </w:r>
    </w:p>
    <w:p>
      <w:pPr>
        <w:spacing w:after="120"/>
      </w:pPr>
      <w:r>
        <w:rPr>
          <w:rFonts w:ascii="Calibri" w:hAnsi="Calibri"/>
          <w:b/>
          <w:color w:val="6E8450"/>
          <w:sz w:val="18"/>
        </w:rPr>
        <w:t>GROWTH SLEEVE · 2026-10-08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NYQ · United States</w:t>
      </w:r>
    </w:p>
    <w:p>
      <w:pPr>
        <w:spacing w:after="80"/>
      </w:pPr>
      <w:r>
        <w:rPr>
          <w:rFonts w:ascii="Calibri" w:hAnsi="Calibri"/>
          <w:b w:val="0"/>
          <w:color w:val="3A4A28"/>
          <w:sz w:val="20"/>
        </w:rPr>
        <w:t>Permian Resources Corporation is an independent oil and natural gas company focused on developing crude oil and associated liquids-rich natural gas reserves in the Delaware Basin, a sub-basin of the Permian Basin. Formed in September 2022 through the merger of Centennial Resource Development and Colgate Energy Partners, the company operates primarily in Reeves County, Texas and Lea County, New Mexico. Headquartered in Midland, Texas with 515 employees, Permian Resources generated TTM revenue of approximately $5.7B with a 21.5% profit margin and trades at 9.9x forward earnings.</w:t>
      </w:r>
    </w:p>
    <w:p>
      <w:r>
        <w:rPr>
          <w:rFonts w:ascii="Calibri" w:hAnsi="Calibri"/>
          <w:b/>
          <w:color w:val="6E8450"/>
          <w:sz w:val="18"/>
        </w:rPr>
        <w:t>515 Employees · https://www.permianres.com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Permian Resources was created through the transformative 2022 merger of Centennial Resource Development and Colgate Energy Partners, consolidating high-quality Delaware Basin acreage and creating one of the largest pure-play Permian operators [1]. Revenue grew from $2.1B in 2022 to $5.7B TTM, though much of this growth is acquisition-driven rather than organic innovation. AI Deployment (0/2): No evidence of AI-powered products shipping to customers or specific AI-driven cost savings quantified. While Permian Basin operators broadly are adopting AI for well optimization and field-level automation, Permian Resources has not publicly reported measurable AI deployment results [2]. Market Share (1/2): Post-merger, Permian Resources is a meaningful pure-play Permian Basin E&amp;P operator, but does not lead the category — larger operators including Diamondback Energy, ConocoPhillips, and ExxonMobil hold greater Permian Basin acreage positions and production volumes. Product Pipeline (1/2): The company maintains strong multi-year drilling inventory across its Delaware Basin acreage with well-defined development plans, though specific next-generation technology initiatives or breakthrough timelines are not publicly articulated. R&amp;D Intensity (0/1): As an E&amp;P company, Permian Resources does not report R&amp;D spending as a distinct line item and technology investment is below average relative to industrial or technology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Permian Resources commits to producing oil and gas 'in ways that are ethical, inclusive, pragmatic, and environmentally and socially responsible,' as described in its 2026 proxy statement [3]. The statement is clear and identifies stakeholders but is not distinctive — it could describe any responsible E&amp;P operator and does not articulate a deeper purpose beyond responsible resource extraction. Community Impact (1/2): The company publishes an annual Corporate Sustainability Report covering environmental stewardship, regulatory compliance, health and safety, workforce development, and community engagement, but specific dollar amounts, distinctive programs, or measurable community impact were not identified in public disclosures [3]. Employee Retention (0/2): No voluntary turnover, average tenure, or employee satisfaction data publicly available for this 515-person company. Insider Buying (2/2): Meaningful net insider buying — Director William Quinn purchased approximately $9.6 million in stock at an average price of $12.68 per share, raising his stake by 240% over the prior year, signaling strong leadership conviction in the long-term value proposition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Permian Resources benefits from a conservative balance sheet with D/E of only 26.2% (score 1.0), well below the 70% target [1]. Revenue surged 55.1% YoY (score 1.0), driven by merger integration and production ramp, and the two-year revenue CAGR from 2023 to 2025 is approximately 27%. The Forward P/E of 9.9x is deeply discounted versus the 20x target (score 1.0), reflecting E&amp;P sector valuation compression. The PEG ratio of 1.18 scores 0.91 against the 1.0 target. Profit margin of 21.5% exceeds the 20% target (score 1.0). The primary weakness is ROE of 11.4% (score 0.76, 2x weight), below the 15% target, reflecting the equity-heavy capital structure post-merger. Daily dollar volume of approximately $208M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Permian Resources operates with a finite competitive mindset typical of E&amp;P companies — focused on efficient capital allocation, production growth targets, and shareholder returns rather than a transcendent cause. The 2022 merger demonstrated strategic ambition and the company maintains a responsible operating philosophy, but leadership commentary centers on capital returns, production metrics, and operational efficiency. The company's short history as a combined entity (since September 2022) limits evaluation of multi-cycle consistency and long-term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Permian Resources' stated purpose — responsible oil and gas production — is a legitimate business objective but does not constitute a Just Cause in Sinek's framework. The mission is interchangeable with any E&amp;P peer and does not describe a future state worth sacrificing for. Leadership commentary focuses on production targets, capital returns, and operational efficiency rather than a vision that transcends quarterly results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 515-person organization suggests a relatively flat structure with potential for close-knit teams, and no evidence of cultural dysfunction, mass layoffs, or leadership instability was found [1]. However, no specific evidence of exceptional trust, employee empowerment, or distinctive cultural practices distinguishes Permian Resources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company's competitive language focuses on acreage quality, production growth, and capital efficiency — standard finite game metrics in the E&amp;P industry. No evidence of management acknowledging competitors' strengths as motivation for self-improvement or framing competition as a catalyst for innovation rather than market share capture.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2022 merger of Centennial and Colgate represents strategic evolution — entering an adjacent market position through consolidation. However, the company continues to do fundamentally the same thing (drill for oil in the Permian Basin) at larger scale, rather than making a transformative pivot driven by a higher purpose. This is incremental strategic adjustment, not existential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2022 merger was a bold strategic decision that created a larger platform and required integrating two distinct organizations. Management's disciplined capital allocation — maintaining low leverage (D/E 26%) while growing the dividend from $0.05 to $0.16 quarterly — shows willingness to invest for long-term value [1][3]. However, no evidence of sacrificing near-term results for long-term capability or taking principled stances that cost money.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Permian Resources at $22 with an $18.6B market cap offers compelling value in the Permian Basin at 9.9x forward earnings with a 2.9% dividend yield. Q2 2026 revenue of $1.86B beat estimates by $220M with adjusted EPS of $0.69 versus $0.53 expected, reflecting strong operational execution and production growth [1]. The Delaware Basin acreage position provides multi-year drilling inventory, the balance sheet is conservatively managed with D/E of only 26.2%, and the dividend has grown from $0.05 to $0.16 quarterly since inception. Forward consensus EPS of $2.24 implies a 47% increase from trailing, supported by production growth, operational synergies from the 2022 merger integration, and favorable commodity pricing dynamics.</w:t>
      </w:r>
    </w:p>
    <w:p>
      <w:pPr>
        <w:spacing w:after="120"/>
      </w:pPr>
      <w:r>
        <w:rPr>
          <w:rFonts w:ascii="Calibri" w:hAnsi="Calibri"/>
          <w:b w:val="0"/>
          <w:color w:val="3A4A28"/>
          <w:sz w:val="20"/>
        </w:rPr>
        <w:t>The bear case centers on commodity price exposure and decelerating growth. The 55% YoY revenue growth is substantially driven by merger anniversary effects and production ramp — organic growth rates will normalize to single digits as base production matures. ROE of 11.4% trails the 15% target, and the equity-heavy capital structure constrains capital efficiency. Oil price sensitivity remains the dominant risk: a sustained decline below $60/bbl WTI would pressure margins, potentially forcing dividend cuts in a company with only four years of payout history and no track record through a commodity downcycle [1][2]. Additionally, Permian Basin maturation risks — declining initial production rates per well, increasing water-handling costs, and regulatory tightening on flaring and emissions — could structurally raise operating costs over time. The payout ratio of 40.8% leaves limited cushion for dividend maintenance if commodity prices weaken significantly.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Delaware Basin drilling inventory provides multi-year organic production growth runway, with potential for extended lateral wells and co-development optimization to reduce per-BOE costs and sustain capital-efficient returns [1]</w:t>
      </w:r>
    </w:p>
    <w:p>
      <w:pPr>
        <w:spacing w:before="40" w:after="40"/>
        <w:ind w:left="283"/>
      </w:pPr>
      <w:r>
        <w:rPr>
          <w:rFonts w:ascii="Calibri" w:hAnsi="Calibri"/>
          <w:b/>
          <w:color w:val="4A6B25"/>
          <w:sz w:val="20"/>
        </w:rPr>
        <w:t xml:space="preserve">2. </w:t>
      </w:r>
      <w:r>
        <w:rPr>
          <w:rFonts w:ascii="Calibri" w:hAnsi="Calibri"/>
          <w:b w:val="0"/>
          <w:color w:val="3A4A28"/>
          <w:sz w:val="20"/>
        </w:rPr>
        <w:t>AI data center demand driving structural increase in natural gas consumption for power generation, supporting long-term commodity prices and Permian Basin production economics [2]</w:t>
      </w:r>
    </w:p>
    <w:p>
      <w:pPr>
        <w:spacing w:before="40" w:after="40"/>
        <w:ind w:left="283"/>
      </w:pPr>
      <w:r>
        <w:rPr>
          <w:rFonts w:ascii="Calibri" w:hAnsi="Calibri"/>
          <w:b/>
          <w:color w:val="4A6B25"/>
          <w:sz w:val="20"/>
        </w:rPr>
        <w:t xml:space="preserve">3. </w:t>
      </w:r>
      <w:r>
        <w:rPr>
          <w:rFonts w:ascii="Calibri" w:hAnsi="Calibri"/>
          <w:b w:val="0"/>
          <w:color w:val="3A4A28"/>
          <w:sz w:val="20"/>
        </w:rPr>
        <w:t>Balance sheet capacity for accretive bolt-on acquisitions — D/E of 26.2% and strong cash flow generation provide firepower for Permian Basin consolidation as smaller operators seek exits in a challenging capital environment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Direct commodity price exposure with limited hedging visibility — revenues and margins are tied to WTI crude and Henry Hub natural gas prices, with no diversified revenue streams to cushion a sustained downcycle [1]</w:t>
      </w:r>
    </w:p>
    <w:p>
      <w:pPr>
        <w:spacing w:before="40" w:after="40"/>
        <w:ind w:left="283"/>
      </w:pPr>
      <w:r>
        <w:rPr>
          <w:rFonts w:ascii="Calibri" w:hAnsi="Calibri"/>
          <w:b/>
          <w:color w:val="4A6B25"/>
          <w:sz w:val="20"/>
        </w:rPr>
        <w:t xml:space="preserve">2. </w:t>
      </w:r>
      <w:r>
        <w:rPr>
          <w:rFonts w:ascii="Calibri" w:hAnsi="Calibri"/>
          <w:b w:val="0"/>
          <w:color w:val="3A4A28"/>
          <w:sz w:val="20"/>
        </w:rPr>
        <w:t>Permian Basin maturation risk as legacy wells decline and operators face increasing water disposal costs, reduced well productivity from infill drilling, and tighter environmental regulations on flaring and methane emissions [2]</w:t>
      </w:r>
    </w:p>
    <w:p>
      <w:pPr>
        <w:spacing w:before="40" w:after="40"/>
        <w:ind w:left="283"/>
      </w:pPr>
      <w:r>
        <w:rPr>
          <w:rFonts w:ascii="Calibri" w:hAnsi="Calibri"/>
          <w:b/>
          <w:color w:val="4A6B25"/>
          <w:sz w:val="20"/>
        </w:rPr>
        <w:t xml:space="preserve">3. </w:t>
      </w:r>
      <w:r>
        <w:rPr>
          <w:rFonts w:ascii="Calibri" w:hAnsi="Calibri"/>
          <w:b w:val="0"/>
          <w:color w:val="3A4A28"/>
          <w:sz w:val="20"/>
        </w:rPr>
        <w:t>Young dividend with no downcycle track record — the quarterly payout was established in late 2022 and has not been tested through a commodity price crash or sustained capital spending compression, with a 40.8% payout ratio limiting margin of safety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Oil and gas exploration and production is a physical-world operation — extracting hydrocarbons from underground reservoirs requires drilling rigs, well completions, pipeline infrastructure, and field operations that AI structurally cannot displace [2]. Analysts do not flag AI disruption as a risk for Permian Basin operators. AI may enhance drilling optimization, predictive maintenance, and reservoir modeling, but these applications increase E&amp;P productivity rather than substituting for the core business. Growing AI data center demand requires massive electricity consumption, potentially increasing long-term demand for natural gas as a power generation fuel. AI Opportunity (0/1): Permian Resources does not generate revenue from AI products or services. AI is used as an operational efficiency tool industry-wide but is not a revenue source for the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Permian Resources Q2 2026 Earnings Report — Revenue $1.86B (+55% YoY), Adjusted EPS $0.69 vs $0.53 Estimate — Benzinga Earnings Data, August 2026</w:t>
      </w:r>
    </w:p>
    <w:p>
      <w:pPr>
        <w:spacing w:before="20" w:after="20"/>
        <w:ind w:left="170"/>
      </w:pPr>
      <w:r>
        <w:rPr>
          <w:rFonts w:ascii="Calibri" w:hAnsi="Calibri"/>
          <w:b/>
          <w:color w:val="4A6B25"/>
          <w:sz w:val="15"/>
        </w:rPr>
        <w:t xml:space="preserve">2. </w:t>
      </w:r>
      <w:r>
        <w:rPr>
          <w:rFonts w:ascii="Calibri" w:hAnsi="Calibri"/>
          <w:b w:val="0"/>
          <w:color w:val="3A4A28"/>
          <w:sz w:val="17"/>
        </w:rPr>
        <w:t>Permian Basin Technology and AI Adoption — Energy Workforce &amp; Technology Council Panel, SPE Journal of Petroleum Technology, 2025-2026</w:t>
      </w:r>
    </w:p>
    <w:p>
      <w:pPr>
        <w:spacing w:before="20" w:after="20"/>
        <w:ind w:left="170"/>
      </w:pPr>
      <w:r>
        <w:rPr>
          <w:rFonts w:ascii="Calibri" w:hAnsi="Calibri"/>
          <w:b/>
          <w:color w:val="4A6B25"/>
          <w:sz w:val="15"/>
        </w:rPr>
        <w:t xml:space="preserve">3. </w:t>
      </w:r>
      <w:r>
        <w:rPr>
          <w:rFonts w:ascii="Calibri" w:hAnsi="Calibri"/>
          <w:b w:val="0"/>
          <w:color w:val="3A4A28"/>
          <w:sz w:val="17"/>
        </w:rPr>
        <w:t>Permian Resources 2026 Proxy Statement (DEF 14A) and Insider Trading Data — SEC EDGAR, Simply Wall St,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