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PSUS</w:t>
      </w:r>
      <w:r>
        <w:rPr>
          <w:rFonts w:ascii="Calibri" w:hAnsi="Calibri"/>
          <w:b/>
          <w:color w:val="1A2010"/>
          <w:sz w:val="40"/>
        </w:rPr>
        <w:t xml:space="preserve">  Pershing Square USA, Ltd.</w:t>
      </w:r>
    </w:p>
    <w:p>
      <w:pPr>
        <w:spacing w:after="120"/>
      </w:pPr>
      <w:r>
        <w:rPr>
          <w:rFonts w:ascii="Calibri" w:hAnsi="Calibri"/>
          <w:b/>
          <w:color w:val="6E8450"/>
          <w:sz w:val="18"/>
        </w:rPr>
        <w:t>GROWTH SLEEVE · 2026-10-14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Pershing Square USA, Ltd. is a closed-end equity fund launched in April 2026 via a record $5 billion IPO on the NYSE, managed by Pershing Square Capital Management, L.P. The fund invests in 12-15 high-quality, predominantly North American-listed, large-capitalization growth companies at discounts to intrinsic value. Holdings include Amazon, Microsoft, Uber, Meta, Brookfield, Restaurant Brands, Fannie Mae, and Freddie Mac, with approximately 55% concentrated in AI-related stocks [1]. The fund trades at a ~23% discount to NAV ($37.81 vs. $49.06 NAV per CEF Connect), with total assets of approximately $4.9B and an annual expense ratio of 2.20% with no performance fee [2][3].</w:t>
      </w:r>
    </w:p>
    <w:p>
      <w:r>
        <w:rPr>
          <w:rFonts w:ascii="Calibri" w:hAnsi="Calibri"/>
          <w:b/>
          <w:color w:val="6E8450"/>
          <w:sz w:val="18"/>
        </w:rPr>
        <w:t>https://www.pershingsquareusa.com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Pershing Square Capital Management has delivered approximately 16% annualized returns since 2004 inception, outperforming the S&amp;P 500 through concentrated activist investing [1]. However, PSUS itself has only existed since April 2026 and has consistently traded below its $50 IPO price, with NAV returning 0.6% from inception through June 30 against a 5.3% S&amp;P 500 gain over the same period [3]. AI Deployment (1/2): The fund's portfolio is heavily allocated to AI beneficiaries — ~55% concentrated in Microsoft (Azure AI), Meta (AI advertising), Amazon (AWS AI), and others, giving investors significant indirect AI exposure through Ackman's conviction bets [2]. Market Share (1/2): Pershing Square is a recognized name in concentrated activist investing with $26.6B total AUM, and the $5B PSUS IPO was the largest closed-end fund IPO in history, though the persistent 23% NAV discount undermines positioning [1]. Product Pipeline (1/2): Ackman deployed 85% of capital across 12 companies with active portfolio construction — selling Alphabet entirely to fund a $2.1B Microsoft position demonstrates decisive capital allocation [2]. R&amp;D Intensity (0/1): Not applicable to an investment fund.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PSUS articulates a clear purpose — providing retail and institutional investors access to Pershing Square's concentrated, high-conviction approach through a permanent capital structure with no performance fee [2]. This is distinctive in the closed-end fund space, offering genuine democratization of institutional-quality investing. However, the purpose ultimately serves investors' financial returns rather than a broader societal mission. Community Impact (0/2): No evidence of charitable programs or community investment by PSUS itself; Pershing Square's significant philanthropy operates through the separate Pershing Square Foundation. Employee Retention (0/2): PSUS has no employees — it is managed by Pershing Square Capital Management, whose team stability (limited turnover, flat organizational structure per SEC filings) is relevant but not directly measurable for this entity [1]. Insider Buying (2/2): Pershing Square management and affiliates acquired more than $500 million of PSUS shares at the $50 IPO and in open-market purchases, now sitting at a ~24% loss — the strongest dollar-value insider commitment in the screen universe and extraordinary alignment of interests [1][3].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the two available metrics — most traditional financial metrics are not applicable to a 6-month-old closed-end fund [4]. Forward P/E of 5.21 (reflecting look-through earnings of underlying holdings) scores 1.0, well below the 20 target. Profit margin of 0% sits at the floor (score 0.0), which is structurally expected for a fund where investment income roughly offsets management expenses [4]. D/E, ROE, revenue growth (YoY and 5yr CAGR), and Forward PEG are all unavailable and excluded from the calculation. The limited metric set (2 of 7 Growth metrics) makes this score less reliable than for an operating company. Structural considerations not captured by the algorithm: the 2.20% annual expense ratio creates a permanent headwind versus passive alternatives at 0.03-0.10%, and the persistent 23% NAV discount ($37.81 share price vs. $49.06 NAV) represents real capital destruction from the $50 IPO price [3][4]. Daily dollar volume of $12.3M ($37.81 x 324,049 shares)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Pershing Square's permanent capital structure is explicitly designed for infinite-game investing — Ackman has articulated that PSUS enables holding positions for decades without redemption pressure, eliminating forced selling that undermines most hedge funds. The 22-year track record of concentrated, conviction-driven investing demonstrates consistency, and $500M+ in personal capital demonstrates extraordinary alignment. However, the fund is only 6 months old, the persistent ~23% NAV discount creates finite-game pressure to justify near-term performance, and the 2.20% expense ratio requires consistent outperformance to justify its existence versus zero-cost alternatives.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Ackman has articulated a distinctive vision for PSUS — democratizing access to institutional-quality concentrated investing through a permanent capital vehicle with no performance fee, explicitly modeled after Berkshire Hathaway's structure [1][2]. The permanent capital structure enables longer-term thinking than traditional hedge funds. This connects investing to a purpose beyond quarterly performance — creating value through active ownership and patient capital allocation. However, the cause is ultimately financial (improving investor returns) and has not been tested through crisis in the PSUS structure.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Pershing Square investment team has been remarkably stable, with CIO Ryan Israel and senior analysts maintaining long tenures at the firm, and SEC filings describe a 'collaborative partnership culture' with 'limited turnover' that management credits as an important driver of outperformance [1]. The board held seven meetings in 2025 focusing on portfolio strategy, succession, and culture. However, Ackman's dominant personality and high public profile create a single-point-of-failure risk — the entire value proposition depends on one person's judgment and public persona.</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Ackman has publicly acknowledged learning from Warren Buffett's approach to permanent capital and concentrated investing, explicitly modeling PSUS's structure after Berkshire Hathaway [1]. This represents a clear worthy-rival mindset — using Buffett's strengths as inspiration for structural improvement rather than competitive destruction. The shift from performance fees to a management-fee-only structure was directly influenced by studying Berkshire's model, and Ackman has openly acknowledged past mistakes (Valeant, JC Penney) as learning experiences.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Pershing Square has demonstrated meaningful strategic evolution — from a traditional hedge fund to a publicly listed permanent capital vehicle, eliminating performance fees and embracing transparency [1]. The PSUS structure represents a genuine reinvention of the business model for U.S. retail access. Recent portfolio shifts — selling Alphabet entirely to fund a $2.1B Microsoft position, pivoting toward AI infrastructure plays — show decisive strategic adaptation [2]. However, the core investment approach (concentrated equity picks)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Ackman and affiliates invested $500+ million of personal capital into PSUS at the $50 IPO price, now sitting at a ~24% loss as the stock trades at $37.81 — maintaining conviction and publicly calling the discount 'frankly absurd' while facing institutional skepticism requires genuine courage [1][3]. The semi-annual shareholder letter transparently acknowledged the -8.1% NAV performance from inception through June before the July recovery to +0.6%. However, the PSUS launch itself was primarily a wealth-creating event for Pershing Square's management entity through fee income on $5B in permanent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PSUS at $37.81 offers access to Bill Ackman's 16% annualized track record (since 2004) through a permanent capital structure at a ~23% discount to NAV ($37.81 vs. $49.06 NAV per CEF Connect as of September 2026) [1][3]. The portfolio is concentrated in 12 high-quality large-cap names with ~55% in AI beneficiaries (Microsoft, Amazon, Meta), plus Uber, Brookfield, and Fannie Mae/Freddie Mac, providing significant exposure to AI infrastructure buildout and financial sector catalysts [2]. Ackman and affiliates have invested $500+ million in personal capital at $50, creating extraordinary alignment — the strongest dollar-value insider commitment across the screen universe [1]. If the NAV discount narrows from 23% to the 10-15% range typical of mature closed-end funds, shareholders capture 10-15% in additional return beyond portfolio performance, and the permanent capital structure eliminates the redemption pressure that undermines most hedge fund strategies.</w:t>
      </w:r>
    </w:p>
    <w:p>
      <w:pPr>
        <w:spacing w:after="120"/>
      </w:pPr>
      <w:r>
        <w:rPr>
          <w:rFonts w:ascii="Calibri" w:hAnsi="Calibri"/>
          <w:b w:val="0"/>
          <w:color w:val="3A4A28"/>
          <w:sz w:val="20"/>
        </w:rPr>
        <w:t>The bear case centers on the persistent NAV discount, high expense ratio, and key-person risk. PSUS has traded at a 20-23% discount since its April 2026 IPO — down 24% from the $50 offering price — and closed-end fund discounts often persist for years with no redemption mechanism to force convergence [3]. The 2.20% annual expense ratio is structurally punitive versus ETFs offering similar large-cap equity exposure at 0.03-0.10%, meaning Ackman must outperform the S&amp;P 500 by at least 2.2% annually just to match zero-cost passive alternatives. NAV returned just 0.6% from inception through late June, underperforming the S&amp;P 500's 5.3% gain over the same period, and PSH (the London-listed sister fund) also lagged markets through mid-2026 [3]. Key-person risk is extreme — the entire value proposition depends on Ackman's judgment, and his concentrated style has produced both spectacular gains (2020 COVID hedge) and devastating losses (Valeant -$4B, JC Penney). With zero operating history as an independent entity, all performance claims rely on the parent fund PSH, which operates under different fee and capital structures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NAV discount narrowing from ~23% to the 10-15% range typical of mature closed-end funds could generate 10-15% incremental return beyond portfolio performance, with $500M+ in management insider purchases providing a floor and active investor relations efforts to close the gap [1][3]</w:t>
      </w:r>
    </w:p>
    <w:p>
      <w:pPr>
        <w:spacing w:before="40" w:after="40"/>
        <w:ind w:left="283"/>
      </w:pPr>
      <w:r>
        <w:rPr>
          <w:rFonts w:ascii="Calibri" w:hAnsi="Calibri"/>
          <w:b/>
          <w:color w:val="4A6B25"/>
          <w:sz w:val="20"/>
        </w:rPr>
        <w:t xml:space="preserve">2. </w:t>
      </w:r>
      <w:r>
        <w:rPr>
          <w:rFonts w:ascii="Calibri" w:hAnsi="Calibri"/>
          <w:b w:val="0"/>
          <w:color w:val="3A4A28"/>
          <w:sz w:val="20"/>
        </w:rPr>
        <w:t>55% portfolio concentration in AI stocks (Microsoft, Meta, Amazon) positions PSUS to benefit from continued AI infrastructure spending acceleration, with Ackman explicitly shifting strategy toward AI infrastructure and energy plays as secular growth themes [2]</w:t>
      </w:r>
    </w:p>
    <w:p>
      <w:pPr>
        <w:spacing w:before="40" w:after="40"/>
        <w:ind w:left="283"/>
      </w:pPr>
      <w:r>
        <w:rPr>
          <w:rFonts w:ascii="Calibri" w:hAnsi="Calibri"/>
          <w:b/>
          <w:color w:val="4A6B25"/>
          <w:sz w:val="20"/>
        </w:rPr>
        <w:t xml:space="preserve">3. </w:t>
      </w:r>
      <w:r>
        <w:rPr>
          <w:rFonts w:ascii="Calibri" w:hAnsi="Calibri"/>
          <w:b w:val="0"/>
          <w:color w:val="3A4A28"/>
          <w:sz w:val="20"/>
        </w:rPr>
        <w:t>Fannie Mae and Freddie Mac recapitalization thesis could unlock significant asymmetric upside if government-sponsored enterprise reform advances under favorable policy conditions, providing event-driven return potential uncorrelated with broader market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NAV discount is structural for closed-end funds — PSUS has no redemption mechanism, the London-listed PSH has historically traded at ~30% discounts, and the 23% PSUS gap may not narrow given the fund's short track record and IPO-related selling pressure [1][3]</w:t>
      </w:r>
    </w:p>
    <w:p>
      <w:pPr>
        <w:spacing w:before="40" w:after="40"/>
        <w:ind w:left="283"/>
      </w:pPr>
      <w:r>
        <w:rPr>
          <w:rFonts w:ascii="Calibri" w:hAnsi="Calibri"/>
          <w:b/>
          <w:color w:val="4A6B25"/>
          <w:sz w:val="20"/>
        </w:rPr>
        <w:t xml:space="preserve">2. </w:t>
      </w:r>
      <w:r>
        <w:rPr>
          <w:rFonts w:ascii="Calibri" w:hAnsi="Calibri"/>
          <w:b w:val="0"/>
          <w:color w:val="3A4A28"/>
          <w:sz w:val="20"/>
        </w:rPr>
        <w:t>2.20% annual expense ratio creates a permanent headwind — Ackman must outperform the S&amp;P 500 by at least 2.2% annually to justify the fee versus zero-cost passive alternatives, and NAV returned just 0.6% from April-June 2026 while the S&amp;P gained 5.3% [3]</w:t>
      </w:r>
    </w:p>
    <w:p>
      <w:pPr>
        <w:spacing w:before="40" w:after="40"/>
        <w:ind w:left="283"/>
      </w:pPr>
      <w:r>
        <w:rPr>
          <w:rFonts w:ascii="Calibri" w:hAnsi="Calibri"/>
          <w:b/>
          <w:color w:val="4A6B25"/>
          <w:sz w:val="20"/>
        </w:rPr>
        <w:t xml:space="preserve">3. </w:t>
      </w:r>
      <w:r>
        <w:rPr>
          <w:rFonts w:ascii="Calibri" w:hAnsi="Calibri"/>
          <w:b w:val="0"/>
          <w:color w:val="3A4A28"/>
          <w:sz w:val="20"/>
        </w:rPr>
        <w:t>Key-person risk is extreme — Ackman's judgment drives all portfolio decisions with concentrated positions that amplify both gains and losses, and his historical record includes multi-billion dollar losses on single positions (Valeant, JC Penney) alongside spectacular wins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PSUS is a closed-end fund holding concentrated large-cap equities — AI disruption risk flows through the underlying holdings rather than the fund structure itself [2]. The portfolio includes major AI beneficiaries (Microsoft, Meta, Amazon at ~55% in 4 AI stocks), which are actively building AI infrastructure and generating AI revenue. However, the fund management function — concentrated stock picking and activist investing — faces increasing competitive pressure from AI-driven quantitative strategies and zero-cost passive alternatives. The 2.20% expense ratio is under particular structural pressure from AI-enabled investment strategies that deliver similar or better returns at a fraction of the cost [3]. The critical question for asset management broadly is whether Ackman's judgment-based, activist approach retains its alpha in an AI-enhanced market. AI Opportunity (1/1): The portfolio generates substantial indirect AI revenue through its holdings — Microsoft's Azure AI, Meta's AI-driven advertising, and Amazon's AWS AI services collectively produce tens of billions in AI revenue, and Ackman has explicitly pivoted strategy toward AI infrastructure and energy plays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Pershing Square USA IPO and Structure — $5B IPO April 29 2026 at $50/share, $500M+ Insider Investment, Permanent Capital Vehicle, Ackman Calls Discount 'Frankly Absurd' — CNBC/BusinessWire/SEC Filings, April-October 2026</w:t>
      </w:r>
    </w:p>
    <w:p>
      <w:pPr>
        <w:spacing w:before="20" w:after="20"/>
        <w:ind w:left="170"/>
      </w:pPr>
      <w:r>
        <w:rPr>
          <w:rFonts w:ascii="Calibri" w:hAnsi="Calibri"/>
          <w:b/>
          <w:color w:val="4A6B25"/>
          <w:sz w:val="15"/>
        </w:rPr>
        <w:t xml:space="preserve">2. </w:t>
      </w:r>
      <w:r>
        <w:rPr>
          <w:rFonts w:ascii="Calibri" w:hAnsi="Calibri"/>
          <w:b w:val="0"/>
          <w:color w:val="3A4A28"/>
          <w:sz w:val="17"/>
        </w:rPr>
        <w:t>Pershing Square Portfolio and Strategy — Holdings (55% in AI: Microsoft, Meta, Amazon), Alphabet Sale, $2.1B Microsoft Position, AI Infrastructure Pivot — Shareholder Letter/Motley Fool, Q2 2026</w:t>
      </w:r>
    </w:p>
    <w:p>
      <w:pPr>
        <w:spacing w:before="20" w:after="20"/>
        <w:ind w:left="170"/>
      </w:pPr>
      <w:r>
        <w:rPr>
          <w:rFonts w:ascii="Calibri" w:hAnsi="Calibri"/>
          <w:b/>
          <w:color w:val="4A6B25"/>
          <w:sz w:val="15"/>
        </w:rPr>
        <w:t xml:space="preserve">3. </w:t>
      </w:r>
      <w:r>
        <w:rPr>
          <w:rFonts w:ascii="Calibri" w:hAnsi="Calibri"/>
          <w:b w:val="0"/>
          <w:color w:val="3A4A28"/>
          <w:sz w:val="17"/>
        </w:rPr>
        <w:t>PSUS NAV and Discount Data — NAV $49.06, Share Price $37.81, Discount ~23%, Total Assets $4.9B, NAV Return 0.6% Since Inception vs. S&amp;P +5.3% — CEF Connect/QuotedData, September-October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Market Chameleon — PSUS Key Statistics: Stock Price $37.81, Forward P/E 5.21, Avg Volume 324K, Expense Ratio 2.20%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