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PTC</w:t>
      </w:r>
      <w:r>
        <w:rPr>
          <w:rFonts w:ascii="Calibri" w:hAnsi="Calibri"/>
          <w:b/>
          <w:color w:val="1A2010"/>
          <w:sz w:val="40"/>
        </w:rPr>
        <w:t xml:space="preserve">  PTC Inc.</w:t>
      </w:r>
    </w:p>
    <w:p>
      <w:pPr>
        <w:spacing w:after="120"/>
      </w:pPr>
      <w:r>
        <w:rPr>
          <w:rFonts w:ascii="Calibri" w:hAnsi="Calibri"/>
          <w:b/>
          <w:color w:val="6E8450"/>
          <w:sz w:val="18"/>
        </w:rPr>
        <w:t>GROWTH SLEEVE · 2026-09-29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PTC Inc. is an industrial software company providing Windchill (product lifecycle management), Creo (CAD), Onshape (cloud-native CAD), and Codebeamer (application lifecycle management) to manufacturers across the Americas, Europe, and Asia Pacific. Under CEO Neil Barua (since February 2024), PTC is executing an 'Intelligent Product Data Foundation' strategy that integrates these platforms to enable AI capabilities across connected product-development data. Q1 FY2026 revenue grew 21% YoY to $685.8M and Q2 FY2026 surged 22% to $774.3M, with FY2026 revenue guided at $2.69-2.75B [1][2]. The company divested Kepware and ThingWorx IoT businesses to sharpen focus on core PLM/CAD/ALM platforms.</w:t>
      </w:r>
    </w:p>
    <w:p>
      <w:r>
        <w:rPr>
          <w:rFonts w:ascii="Calibri" w:hAnsi="Calibri"/>
          <w:b/>
          <w:color w:val="6E8450"/>
          <w:sz w:val="18"/>
        </w:rPr>
        <w:t>7,642 Employees · https://www.ptc.com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PTC has executed multiple transformative moves — the Onshape SaaS-CAD acquisition, Codebeamer acquisition, and strategic divestiture of Kepware/ThingWorx IoT businesses to refocus on a unified 'Intelligent Product Data Foundation' platform [1]. The company successfully transitioned from perpetual licenses to a subscription/SaaS model, with constant-currency ARR growth guided at ~9.25% for FY2026. AI Deployment (2/2): Onshape's cloud-native architecture captures design decisions in real time, creating structured data that enables AI to understand design intent and learn from past work — Onshape Labs is actively shipping AI features into everyday engineering workflows [4]. ServiceMax's AI features are cited as PTC's 'biggest AI win to date' with concrete customer results [3]. Market Share (1/2): PTC is a top-tier PLM/ALM vendor alongside Siemens Teamcenter and Dassault Systemes but is not the outright category leader. Product Pipeline (2/2): Management raised FY2026 ARR growth guidance to ~9.25% with specific net-new ARR targets and named product integration milestones across Creo, Windchill, and Codebeamer [1]. R&amp;D Intensity (0/1): No R&amp;D-to-revenue figure benchmarked against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PTC's mission of helping manufacturers build 'a smarter, more connected, more sustainable world' through digital product lifecycle management is clear and industry-specific but reads similarly to other industrial-software peers rather than being fully distinctive. Community Impact (1/2): PTC established an ESG Council with board-level oversight and publishes sustainability disclosures, though its ESG program is at an earlier stage of maturity than social and governance initiatives, with no dollar-quantified community program identified [6]. Employee Retention (2/2): Glassdoor reviews show significant cultural improvement — employees report the 'culture has improved significantly over the past 5 years' and describe CEO Barua as 'fantastic,' with 86% recommending PTC and 81% expressing positive business outlook [5]. Long-tenured engineering workforce, with Bangalore office employees averaging 14+ years of experience. Insider Buying (0/2): No evidence of meaningful net insider buying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46.3% scores at maximum vs the 70% target, and ROE of 35.1% scores 1.0 at 2x weight, reflecting strong capital returns from the subscription software model [7]. Forward P/E of 15.6x scores at maximum vs the 20x target — the stock is attractively valued after modest price pullback from $147 to $140. Profit margin of 41.4% scores 1.0, though this is inflated by a divestiture gain in Q2 FY2026 (GAAP EPS of $5.00 includes one-time items) — normalized operating margins are closer to 27-30% [2]. The primary drag is revenue_growth_yoy of -6.8% from yfinance (scoring 0.44), which appears to reflect the Kepware/ThingWorx divestiture impact on comparable periods — reported Q1/Q2 FY2026 growth was 21-22% on a GAAP basis [1][2]. 5-year revenue CAGR of approximately 8.6% scores 0.91 at 2x weight. Forward PEG of approximately 1.0 scores at maximum at 2x weight. Liquidity is excellent at ~$215M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PTC displays strong infinite-game characteristics. The company has repeatedly reshaped its portfolio — most recently divesting the once-core Kepware and ThingWorx IoT businesses to refocus on a unified product-data platform — a costly, deliberate strategic sacrifice rather than a reactive move. Combined with strong Glassdoor culture ratings (86% recommend, culture described as 'significantly improved'), AI-forward product strategy, and a multi-decade evolution from CAD-only vendor to integrated PLM/ALM/AI platform company, PTC shows purpose-driven reinvention, tempered only by lack of evidence around competitive learning mindset.</w:t>
      </w:r>
    </w:p>
    <w:p>
      <w:pPr>
        <w:spacing w:before="200" w:after="40"/>
      </w:pPr>
      <w:r>
        <w:rPr>
          <w:rFonts w:ascii="Calibri" w:hAnsi="Calibri"/>
          <w:b/>
          <w:color w:val="1A2010"/>
          <w:sz w:val="22"/>
        </w:rPr>
        <w:t>Just Cause</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PTC's purpose of helping manufacturers build a 'smarter, more connected, more sustainable world' has genuinely shaped four decades of platform evolution — from CAD to PLM to IoT to AI-enabled product data foundation. Under Barua, the willingness to divest revenue-generating IoT businesses (Kepware, ThingWorx) to better serve this purpose demonstrates the cause drives decisions beyond what short-term profitability dictates [1][3].</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Glassdoor ratings show 86% of employees recommend PTC, 81% have a positive business outlook, and the culture has 'improved significantly over the past 5 years' under new leadership [5]. CEO Barua is described as 'fantastic.' The engineering workforce has deep tenure (Bangalore employees average 14+ years). Some reviews cite political behavior at the VP level, but the overall organizational trust signal is strong.</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PTC publicly acknowledging Siemens Teamcenter's or Dassault Systemes' strengths as a spur for self-improvement; competitive commentary in earnings materials focuses on ARR growth and deal wins rather than learning from rivals. The company competes aggressively but does not frame competitors as worthy teachers.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PTC divested its Kepware and ThingWorx IoT businesses — both formerly core growth pillars positioned as the future of the company — to refocus capital and management attention on the integrated Windchill/Creo/Codebeamer product-data platform [1]. This is a genuinely painful strategic sacrifice (evident in near-term revenue headwinds) made in service of long-term platform clarity, exactly the pattern Sinek describes.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Divesting two previously touted growth businesses while simultaneously raising FY2026 ARR growth guidance to ~9.25% shows leadership prioritizing long-term platform focus over near-term revenue optics [1]. CEO Barua has been willing to absorb revenue headwinds and negative yfinance growth metrics from the divestitures to build a more focused, AI-ready platform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PTC is delivering strong execution on its 'Intelligent Product Data Foundation' strategy, with Q1 FY2026 revenue up 21% to $685.8M and Q2 up 22% to $774.3M, supported by FY2026 guidance of $2.69-2.75B in revenue and raised ARR growth guidance of ~9.25% [1][2]. The balance sheet is excellent (D/E 46%, ROE 35%, profit margin 41%) and the stock trades at just 15.6x forward earnings — a compelling valuation for a high-quality industrial software franchise. CEO Barua's decision to divest Kepware/ThingWorx to refocus on core PLM/CAD/ALM, with early AI monetization visible in ServiceMax and Onshape Labs, supports a durable, purpose-aligned growth story [3][4].</w:t>
      </w:r>
    </w:p>
    <w:p>
      <w:pPr>
        <w:spacing w:after="120"/>
      </w:pPr>
      <w:r>
        <w:rPr>
          <w:rFonts w:ascii="Calibri" w:hAnsi="Calibri"/>
          <w:b w:val="0"/>
          <w:color w:val="3A4A28"/>
          <w:sz w:val="20"/>
        </w:rPr>
        <w:t>Near-term noise from the divestitures creates headline risk — yfinance shows -6.8% revenue growth on trailing comparisons that include divested revenue in the prior period, and EPS comparisons are distorted by one-time divestiture gains (Q2 FY2026 GAAP EPS of $5.00 includes a gain) [2]. Forward PEG of approximately 1.0 suggests the market has largely priced in mid-teens growth, leaving limited room for further multiple expansion. PTC's Inspire Impact Score of -49 (MISALIGNED, driven by LGBT Activism attribution) limits fit for faith-aligned mandates despite 19 positive ESG-related attributions. Competitive intensity from Siemens Teamcenter and Dassault Systemes remains a structural overhang on PLM market share.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FY2026 ARR growth tracking above the raised 9.25% guidance as divested-asset noise rolls off and organic subscription momentum continues</w:t>
      </w:r>
    </w:p>
    <w:p>
      <w:pPr>
        <w:spacing w:before="40" w:after="40"/>
        <w:ind w:left="283"/>
      </w:pPr>
      <w:r>
        <w:rPr>
          <w:rFonts w:ascii="Calibri" w:hAnsi="Calibri"/>
          <w:b/>
          <w:color w:val="4A6B25"/>
          <w:sz w:val="20"/>
        </w:rPr>
        <w:t xml:space="preserve">2. </w:t>
      </w:r>
      <w:r>
        <w:rPr>
          <w:rFonts w:ascii="Calibri" w:hAnsi="Calibri"/>
          <w:b w:val="0"/>
          <w:color w:val="3A4A28"/>
          <w:sz w:val="20"/>
        </w:rPr>
        <w:t>AI monetization acceleration across Onshape Labs (generative design, AI-driven engineering workflows) and ServiceMax (field service AI) — concrete revenue-generating features shipping to customers [3][4]</w:t>
      </w:r>
    </w:p>
    <w:p>
      <w:pPr>
        <w:spacing w:before="40" w:after="40"/>
        <w:ind w:left="283"/>
      </w:pPr>
      <w:r>
        <w:rPr>
          <w:rFonts w:ascii="Calibri" w:hAnsi="Calibri"/>
          <w:b/>
          <w:color w:val="4A6B25"/>
          <w:sz w:val="20"/>
        </w:rPr>
        <w:t xml:space="preserve">3. </w:t>
      </w:r>
      <w:r>
        <w:rPr>
          <w:rFonts w:ascii="Calibri" w:hAnsi="Calibri"/>
          <w:b w:val="0"/>
          <w:color w:val="3A4A28"/>
          <w:sz w:val="20"/>
        </w:rPr>
        <w:t>Post-divestiture focus on the unified Intelligent Product Data Foundation should improve cross-sell opportunities across Windchill, Creo, and Codebeamer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Divestiture of Kepware/ThingWorx creates revenue comparison headwinds — yfinance trailing growth shows -6.8%, which may concern investors not parsing the organic vs reported distinction</w:t>
      </w:r>
    </w:p>
    <w:p>
      <w:pPr>
        <w:spacing w:before="40" w:after="40"/>
        <w:ind w:left="283"/>
      </w:pPr>
      <w:r>
        <w:rPr>
          <w:rFonts w:ascii="Calibri" w:hAnsi="Calibri"/>
          <w:b/>
          <w:color w:val="4A6B25"/>
          <w:sz w:val="20"/>
        </w:rPr>
        <w:t xml:space="preserve">2. </w:t>
      </w:r>
      <w:r>
        <w:rPr>
          <w:rFonts w:ascii="Calibri" w:hAnsi="Calibri"/>
          <w:b w:val="0"/>
          <w:color w:val="3A4A28"/>
          <w:sz w:val="20"/>
        </w:rPr>
        <w:t>Q2 FY2026 GAAP EPS of $5.00 includes divestiture gains, inflating profit margin to 41.4% — normalized margins are closer to 27-30%, and one-time gains mask underlying profitability trends [2]</w:t>
      </w:r>
    </w:p>
    <w:p>
      <w:pPr>
        <w:spacing w:before="40" w:after="40"/>
        <w:ind w:left="283"/>
      </w:pPr>
      <w:r>
        <w:rPr>
          <w:rFonts w:ascii="Calibri" w:hAnsi="Calibri"/>
          <w:b/>
          <w:color w:val="4A6B25"/>
          <w:sz w:val="20"/>
        </w:rPr>
        <w:t xml:space="preserve">3. </w:t>
      </w:r>
      <w:r>
        <w:rPr>
          <w:rFonts w:ascii="Calibri" w:hAnsi="Calibri"/>
          <w:b w:val="0"/>
          <w:color w:val="3A4A28"/>
          <w:sz w:val="20"/>
        </w:rPr>
        <w:t>Intense competition from Siemens Teamcenter and Dassault Systemes in the core PLM market, with no evidence PTC is gaining share despite strong product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PTC's core Windchill/Creo/Codebeamer platforms are deeply embedded in enterprise manufacturing workflows with high switching costs and regulatory/compliance dependencies (e.g., requirements traceability in aerospace and automotive), making the core PLM business structurally difficult for AI to displace [3]. AI increases demand for PTC's 'Intelligent Product Data Foundation' since generative AI features require the clean, connected product data that PTC's platforms manage — an enabler dynamic rather than a threat. Onshape's cloud-native architecture captures every design decision in real time, creating the structured data context that AI needs to understand design intent and take action [4]. AI Opportunity (1/1): ServiceMax's AI rollout is cited as PTC's 'biggest AI win to date,' and Codebeamer ships AI features that improve requirements quality and eliminate duplicate requirements for engineering teams — concrete, revenue-generating AI capabilities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PTC Q1 FY2026 Earnings Results — ptc.com, January 2026</w:t>
      </w:r>
    </w:p>
    <w:p>
      <w:pPr>
        <w:spacing w:before="20" w:after="20"/>
        <w:ind w:left="170"/>
      </w:pPr>
      <w:r>
        <w:rPr>
          <w:rFonts w:ascii="Calibri" w:hAnsi="Calibri"/>
          <w:b/>
          <w:color w:val="4A6B25"/>
          <w:sz w:val="15"/>
        </w:rPr>
        <w:t xml:space="preserve">2. </w:t>
      </w:r>
      <w:r>
        <w:rPr>
          <w:rFonts w:ascii="Calibri" w:hAnsi="Calibri"/>
          <w:b w:val="0"/>
          <w:color w:val="3A4A28"/>
          <w:sz w:val="17"/>
        </w:rPr>
        <w:t>PTC Q2 FY2026 Earnings Results — ptc.com, ChartMill, April 2026</w:t>
      </w:r>
    </w:p>
    <w:p>
      <w:pPr>
        <w:spacing w:before="20" w:after="20"/>
        <w:ind w:left="170"/>
      </w:pPr>
      <w:r>
        <w:rPr>
          <w:rFonts w:ascii="Calibri" w:hAnsi="Calibri"/>
          <w:b/>
          <w:color w:val="4A6B25"/>
          <w:sz w:val="15"/>
        </w:rPr>
        <w:t xml:space="preserve">3. </w:t>
      </w:r>
      <w:r>
        <w:rPr>
          <w:rFonts w:ascii="Calibri" w:hAnsi="Calibri"/>
          <w:b w:val="0"/>
          <w:color w:val="3A4A28"/>
          <w:sz w:val="17"/>
        </w:rPr>
        <w:t>PTC CEO Neil Barua on AI Strategy and Intelligent Product Data Foundation — press releases,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PTC Onshape AI and Onshape Labs — ptc.com/careers, product announcements,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 PTC employee reviews,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PTC ESG Ratings — Yahoo Finance, CSRHub,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PTC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