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PTEN</w:t>
      </w:r>
      <w:r>
        <w:rPr>
          <w:rFonts w:ascii="Calibri" w:hAnsi="Calibri"/>
          <w:b/>
          <w:color w:val="1A2010"/>
          <w:sz w:val="40"/>
        </w:rPr>
        <w:t xml:space="preserve">  Patterson-UTI Energy, Inc.</w:t>
      </w:r>
    </w:p>
    <w:p>
      <w:pPr>
        <w:spacing w:after="120"/>
      </w:pPr>
      <w:r>
        <w:rPr>
          <w:rFonts w:ascii="Calibri" w:hAnsi="Calibri"/>
          <w:b/>
          <w:color w:val="6E8450"/>
          <w:sz w:val="18"/>
        </w:rPr>
        <w:t>DIVIDEND SLEEVE · 2026-10-10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Drilling · NMS · United States</w:t>
      </w:r>
    </w:p>
    <w:p>
      <w:pPr>
        <w:spacing w:after="80"/>
      </w:pPr>
      <w:r>
        <w:rPr>
          <w:rFonts w:ascii="Calibri" w:hAnsi="Calibri"/>
          <w:b w:val="0"/>
          <w:color w:val="3A4A28"/>
          <w:sz w:val="20"/>
        </w:rPr>
        <w:t>Patterson-UTI Energy, Inc. is one of the largest North American onshore contract drilling and completion services providers, formed through the 2023 merger of Patterson-UTI and NexTier Oilfield Solutions. The company operates through Drilling Services, Completion Services, and Drilling Products segments, offering contract drilling, hydraulic fracturing, wireline, MWD/directional services, and drill bit manufacturing. With 7,900 employees and TTM revenue of approximately $4.7B, the company features advanced CORTEX drilling automation, Mpact motors, and EcoCell battery hybrid power systems. Headquartered in Houston, Texas.</w:t>
      </w:r>
    </w:p>
    <w:p>
      <w:r>
        <w:rPr>
          <w:rFonts w:ascii="Calibri" w:hAnsi="Calibri"/>
          <w:b/>
          <w:color w:val="6E8450"/>
          <w:sz w:val="18"/>
        </w:rPr>
        <w:t>7,900 Employees · https://www.patenergy.com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2023 merger with NexTier Oilfield Solutions was transformative, creating the largest combined onshore drilling and completions company in North America and enabling an integrated service offering that competitors cannot easily replicate [1][3]. The company also developed next-generation 'super-rigs' with robotics, real-time data analytics, and automated drilling capabilities. AI Deployment (1/2): VP of Digital Solutions Anil Godumagadda leads AI and advanced analytics initiatives, with the CORTEX drilling automation system using real-time data analytics to optimize drilling performance and reduce costs [3]. Measurable results have not been publicly quantified. Market Share (1/2): Patterson-UTI operates one of the largest active rig fleets and the largest pressure pumping fleet in North America, maintaining top-3 market position in both contract drilling and completions [1][2]. Product Pipeline (1/2): EcoCell lithium battery hybrid power management system, Mpact drilling motors, HiFi Guidance and HiFi Nav directional technology, and natural gas-fueled e-frac fleets provide specific next-generation product visibility [3][4]. R&amp;D Intensity (1/1): Above-industry technology investment evidenced by the CORTEX platform, EcoCell development, and a dedicated VP of Digital Solutions — unusual for an OFS company of this size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Patterson-UTI's stated purpose focuses on providing 'reliable, efficient, and innovative services to the oil and gas industry' — a generic oilfield services mission interchangeable with any peer, articulating what the company does but not why it exists beyond serving customers [4]. Community Impact (1/2): The company publishes annual sustainability reports since 2021 aligned with SASB and TCFD frameworks, promotes environmental initiatives including natural gas substitution and EcoCell battery systems to reduce emissions, and maintains community engagement programs [4]. Employee Retention (1/2): CEO Andy Hendricks, a Schlumberger veteran, provides stable leadership, and the separate chairman/CEO structure signals governance maturity [3]. However, OFS companies experience inherently high turnover during cyclical downturns, and no specific retention metrics are available. Insider Buying (0/2): No evidence of meaningful net insider buying by executives in the last 12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(yield 3.54%, 22+ year payment history). D/E of 41.4% is well below the 70% target (score 1.0), and the company maintains modest leverage despite the NexTier merger integration costs [5]. ROE of -2.8% is slightly negative reflecting the current cyclical trough (score 0.0), and profit margin of -1.9% is also negative (score 0.0) [1]. Revenue growth of 0.7% YoY is essentially flat (score 0.69), with an estimated 5-year CAGR of approximately 15% inflated by the NexTier merger (score 1.0) [1][2]. Forward P/E of 32.2x is elevated but below the 60x floor (score 0.70) [5]. Payout ratio of 133% exceeds the 100% floor (score 0.0), as the $0.40/year dividend significantly exceeds current earnings. Consecutive years paid of 22 provides maximum score (1.0, 2x weight). Dividend growth CAGR of approximately 3% scores 0.50 (2x weight). Daily dollar volume of $92M provides ample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Patterson-UTI operates with a finite-game orientation typical of cyclical oilfield services companies. The business is driven by rig count cycles, commodity prices, and customer capital budgets rather than an enduring cause. While the NexTier merger showed strategic flexibility and the technology investments reflect forward thinking, the company's competitive language centers on market share metrics and cost leadership rather than purpose-driven strategy. Leadership prioritizes shareholder returns and operational efficiency over cause-driven transformation.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Patterson-UTI exists to provide drilling and completion services to oil and gas companies — a commercially necessary function but not a Just Cause as Sinek defines it. The company's mission is to serve customers reliably and profitably, which describes shareholder value creation, not a vision of a future worth sacrificing for [4]. Energy transition conversations offer an opportunity to articulate a deeper purpose, but management framing remains centered on operational excellence and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Andy Hendricks provides stable leadership with industry-veteran credibility, and the separated chairman/CEO governance structure demonstrates institutional maturity [3]. Safety culture is emphasized across field operations, which is critical in a high-hazard industry. However, OFS companies inherently face workforce volatility during downcycles — the company's headcount fluctuates with rig activity, and the NexTier merger integration required significant organizational restructuring.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Patterson-UTI's competitive language focuses on being the 'largest' and 'most technologically advanced' rather than learning from rivals' strengths [1][3]. The company competes against Helmerich &amp; Payne and Liberty Energy with a zero-sum market share mindset, framing competition as winning rig contracts rather than using rivals to improve its own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NexTier merger transformed Patterson-UTI from a pure-play drilling company into an integrated drilling and completions provider, fundamentally changing the business model and revenue composition [1]. The investment in EcoCell battery systems and natural gas-fueled equipment shows willingness to adapt to lower-carbon operational demands. These are significant but incremental adaptations driven by market necessity rather than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NexTier merger required conviction during an uncertain oil price environment, committing to double the company's operational scope while managing complex integration [1]. Management raised the quarterly dividend from $0.08 to $0.10 despite negative current earnings, signaling confidence in forward recovery. However, no evidence of sacrificing profitability for long-term capability beyond the merger itself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Patterson-UTI at $11.31 with a $4.3B market cap offers a deep-cyclical value opportunity with the highest dividend yield in the batch at 3.54% and a PEG ratio of just 0.73, signaling the market prices in a meaningful earnings recovery as North American drilling activity stabilizes [5]. The company operates the largest combined rig fleet and pressure pumping capacity in North America following the NexTier merger, with the integrated service model driving customer adoption and technology differentiation through CORTEX automation, EcoCell battery hybrid systems, and HiFi directional guidance [3]. Q2 2026 revenue recovered 10% sequentially to approximately $1.2B, and management expects continued activity and pricing improvement into 2027 [1]. The low D/E of 41% and 22-year dividend track record provide cyclical resilience, while the Inspire Insight score of 40 (ALIGNED) reflects strong ESG practices across energy management, emissions reduction, and water conservation [4].</w:t>
      </w:r>
    </w:p>
    <w:p>
      <w:pPr>
        <w:spacing w:after="120"/>
      </w:pPr>
      <w:r>
        <w:rPr>
          <w:rFonts w:ascii="Calibri" w:hAnsi="Calibri"/>
          <w:b w:val="0"/>
          <w:color w:val="3A4A28"/>
          <w:sz w:val="20"/>
        </w:rPr>
        <w:t>The bear case centers on deep cyclical exposure and current unprofitability. Patterson-UTI is losing money today — profit margin of -1.9% and ROE of -2.8% reflect the North American drilling downturn, and the $0.40/year dividend consumes 133% of trailing earnings, making the payout unsustainable without a recovery [5]. Revenue growth is essentially flat at 0.7% YoY, masking a Q1 decline of -12.7% that signals the cycle may not have bottomed [2]. The Forward P/E of 32.2x implies the market expects a significant earnings recovery that may not materialize if oil prices remain range-bound or E&amp;P companies continue capital discipline. The OFS sector is structurally challenged by longer-lateral wells that require fewer rigs to drill the same reservoir volume, creating a secular headwind to rig count independent of commodity prices. The Q2 $19.6M net loss included $21M in charges for exiting Colombian operations, signaling ongoing restructuring costs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North American drilling activity recovery as E&amp;P capital budgets stabilize and deferred completions are worked through, with management guiding for continued growth in drilling and completion activity and pricing into 2027 [1]</w:t>
      </w:r>
    </w:p>
    <w:p>
      <w:pPr>
        <w:spacing w:before="40" w:after="40"/>
        <w:ind w:left="283"/>
      </w:pPr>
      <w:r>
        <w:rPr>
          <w:rFonts w:ascii="Calibri" w:hAnsi="Calibri"/>
          <w:b/>
          <w:color w:val="4A6B25"/>
          <w:sz w:val="20"/>
        </w:rPr>
        <w:t xml:space="preserve">2. </w:t>
      </w:r>
      <w:r>
        <w:rPr>
          <w:rFonts w:ascii="Calibri" w:hAnsi="Calibri"/>
          <w:b w:val="0"/>
          <w:color w:val="3A4A28"/>
          <w:sz w:val="20"/>
        </w:rPr>
        <w:t>Technology-driven market share gains through CORTEX automation, EcoCell battery systems, and HiFi directional guidance, which differentiate Patterson-UTI's rigs and enable premium day rates versus commodity competitors [3]</w:t>
      </w:r>
    </w:p>
    <w:p>
      <w:pPr>
        <w:spacing w:before="40" w:after="40"/>
        <w:ind w:left="283"/>
      </w:pPr>
      <w:r>
        <w:rPr>
          <w:rFonts w:ascii="Calibri" w:hAnsi="Calibri"/>
          <w:b/>
          <w:color w:val="4A6B25"/>
          <w:sz w:val="20"/>
        </w:rPr>
        <w:t xml:space="preserve">3. </w:t>
      </w:r>
      <w:r>
        <w:rPr>
          <w:rFonts w:ascii="Calibri" w:hAnsi="Calibri"/>
          <w:b w:val="0"/>
          <w:color w:val="3A4A28"/>
          <w:sz w:val="20"/>
        </w:rPr>
        <w:t>Integrated drilling-and-completions service model capturing more revenue per well as customers consolidate providers, with the NexTier merger providing cross-selling opportunities that pure-play competitors cannot match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oil price weakness or E&amp;P capital discipline holding rig counts below levels needed for profitability, as the company is currently operating at a loss with negative margins and may be forced to cut the 133%-of-earnings dividend [5]</w:t>
      </w:r>
    </w:p>
    <w:p>
      <w:pPr>
        <w:spacing w:before="40" w:after="40"/>
        <w:ind w:left="283"/>
      </w:pPr>
      <w:r>
        <w:rPr>
          <w:rFonts w:ascii="Calibri" w:hAnsi="Calibri"/>
          <w:b/>
          <w:color w:val="4A6B25"/>
          <w:sz w:val="20"/>
        </w:rPr>
        <w:t xml:space="preserve">2. </w:t>
      </w:r>
      <w:r>
        <w:rPr>
          <w:rFonts w:ascii="Calibri" w:hAnsi="Calibri"/>
          <w:b w:val="0"/>
          <w:color w:val="3A4A28"/>
          <w:sz w:val="20"/>
        </w:rPr>
        <w:t>Secular decline in rig demand from longer-lateral wells, pad drilling efficiencies, and DUC drawdowns that structurally reduce the number of rigs needed to maintain production, creating a permanent headwind to the drilling business [1][2]</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setback after exiting Colombian drilling operations in Q2 2026 at a $21M charge, narrowing the company's addressable market to North America where competitive intensity is highest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Oilfield services — contract drilling, hydraulic fracturing, wireline operations, and drill bit manufacturing — require physical rigs, heavy equipment, trained field crews, and on-site operations that AI structurally cannot substitute [3][5]. The company's 200+ drilling rigs and frac spreads operate in remote locations requiring physical presence, specialized safety protocols, and real-time mechanical expertise. AI actually enhances OFS operations by improving drilling automation (CORTEX), optimizing well placement (HiFi Guidance), and enabling predictive maintenance, making AI a net enabler rather than a threat. No analysts have identified AI as a displacement risk for Patterson-UTI's business model. AI Opportunity (0/1): While the CORTEX platform and digital solutions use AI-adjacent analytics, no quantifiable AI revenue stream exists — the technology is deployed internally to improve operational efficiency rather than sold as a standalone product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Patterson-UTI Q2 2026 Earnings Release — Revenue ~$1.2B (+10% sequential), Adjusted EBITDA ~$232M, net loss $19.6M including Colombia exit charges, July 2026</w:t>
      </w:r>
    </w:p>
    <w:p>
      <w:pPr>
        <w:spacing w:before="20" w:after="20"/>
        <w:ind w:left="170"/>
      </w:pPr>
      <w:r>
        <w:rPr>
          <w:rFonts w:ascii="Calibri" w:hAnsi="Calibri"/>
          <w:b/>
          <w:color w:val="4A6B25"/>
          <w:sz w:val="15"/>
        </w:rPr>
        <w:t xml:space="preserve">2. </w:t>
      </w:r>
      <w:r>
        <w:rPr>
          <w:rFonts w:ascii="Calibri" w:hAnsi="Calibri"/>
          <w:b w:val="0"/>
          <w:color w:val="3A4A28"/>
          <w:sz w:val="17"/>
        </w:rPr>
        <w:t>Patterson-UTI Q1 2026 Earnings Release — Revenue $1.1B (-12.7% YoY), Seeking Alpha, April 2026</w:t>
      </w:r>
    </w:p>
    <w:p>
      <w:pPr>
        <w:spacing w:before="20" w:after="20"/>
        <w:ind w:left="170"/>
      </w:pPr>
      <w:r>
        <w:rPr>
          <w:rFonts w:ascii="Calibri" w:hAnsi="Calibri"/>
          <w:b/>
          <w:color w:val="4A6B25"/>
          <w:sz w:val="15"/>
        </w:rPr>
        <w:t xml:space="preserve">3. </w:t>
      </w:r>
      <w:r>
        <w:rPr>
          <w:rFonts w:ascii="Calibri" w:hAnsi="Calibri"/>
          <w:b w:val="0"/>
          <w:color w:val="3A4A28"/>
          <w:sz w:val="17"/>
        </w:rPr>
        <w:t>Patterson-UTI Corporate Profile — CEO Andy Hendricks, CORTEX automation, EcoCell battery systems, VP Digital Solutions, Creative Destruction Lab and DrillingContractor.org, 2026</w:t>
      </w:r>
    </w:p>
    <w:p>
      <w:pPr>
        <w:spacing w:before="20" w:after="20"/>
        <w:ind w:left="170"/>
      </w:pPr>
      <w:r>
        <w:rPr>
          <w:rFonts w:ascii="Calibri" w:hAnsi="Calibri"/>
          <w:b/>
          <w:color w:val="4A6B25"/>
          <w:sz w:val="15"/>
        </w:rPr>
        <w:t xml:space="preserve">4. </w:t>
      </w:r>
      <w:r>
        <w:rPr>
          <w:rFonts w:ascii="Calibri" w:hAnsi="Calibri"/>
          <w:b w:val="0"/>
          <w:color w:val="3A4A28"/>
          <w:sz w:val="17"/>
        </w:rPr>
        <w:t>Patterson-UTI Corporate Sustainability Report 2023 — SASB/TCFD alignment, EcoCell hybrid power, environmental and safety initiatives, esg.patenergy.com</w:t>
      </w:r>
    </w:p>
    <w:p>
      <w:pPr>
        <w:spacing w:before="20" w:after="20"/>
        <w:ind w:left="170"/>
      </w:pPr>
      <w:r>
        <w:rPr>
          <w:rFonts w:ascii="Calibri" w:hAnsi="Calibri"/>
          <w:b/>
          <w:color w:val="4A6B25"/>
          <w:sz w:val="15"/>
        </w:rPr>
        <w:t xml:space="preserve">5. </w:t>
      </w:r>
      <w:r>
        <w:rPr>
          <w:rFonts w:ascii="Calibri" w:hAnsi="Calibri"/>
          <w:b w:val="0"/>
          <w:color w:val="3A4A28"/>
          <w:sz w:val="17"/>
        </w:rPr>
        <w:t>Yahoo Finance — PTEN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