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PWRL</w:t>
      </w:r>
      <w:r>
        <w:rPr>
          <w:rFonts w:ascii="Calibri" w:hAnsi="Calibri"/>
          <w:b/>
          <w:color w:val="1A2010"/>
          <w:sz w:val="40"/>
        </w:rPr>
        <w:t xml:space="preserve">  Powerlaw Corp.</w:t>
      </w:r>
    </w:p>
    <w:p>
      <w:pPr>
        <w:spacing w:after="120"/>
      </w:pPr>
      <w:r>
        <w:rPr>
          <w:rFonts w:ascii="Calibri" w:hAnsi="Calibri"/>
          <w:b/>
          <w:color w:val="6E8450"/>
          <w:sz w:val="18"/>
        </w:rPr>
        <w:t>GROWTH SLEEVE · 2026-10-20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Powerlaw Corp. is a Nasdaq-listed closed-end fund registered under the Investment Company Act of 1940, providing retail investors access to leading private technology companies through a single publicly traded security. Advised by Powerlaw Fund Adviser, LLC (affiliated with venture secondary specialist Akkadian Ventures, $1.36B AUM), the fund began trading via direct listing on May 27, 2026. The portfolio focuses on high-growth AI, software, aerospace and defense, and consumer technology, with SpaceX as its largest holding at approximately 19% of net assets. NAV was $700.9M ($16.21/share) as of June 30, 2026, while shares trade at approximately $11.98, a significant discount to NAV [1][2].</w:t>
      </w:r>
    </w:p>
    <w:p>
      <w:r>
        <w:rPr>
          <w:rFonts w:ascii="Calibri" w:hAnsi="Calibri"/>
          <w:b/>
          <w:color w:val="6E8450"/>
          <w:sz w:val="18"/>
        </w:rPr>
        <w:t>https://www.powerlawfunds.com/pwrl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Nasdaq-listed closed-end fund structure providing retail access to private technology companies (SpaceX, OpenAI, Perplexity, Stripe, Kalshi) through a single ticker represents a modestly novel approach to democratizing private market investing, though similar structures exist through SPACs, interval funds, and other closed-end vehicles [1]. The fund has been trading for less than five months, providing no meaningful operational track record. AI Deployment (0/2): PWRL is an investment vehicle, not an operating company — it does not deploy AI in its operations beyond standard financial analytics [2]. Market Share (0/2): The fund manages approximately $700M in NAV, which is a small fraction of the private market access space dominated by firms like Destiny XYZ, ARK Venture Fund, and various interval funds [1]. Product Pipeline (0/2): No next-generation products or fund innovations have been announced beyond the current portfolio construction strategy [2]. R&amp;D Intensity (0/1): Not applicable — closed-end funds do not conduct R&amp;D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Powerlaw's stated purpose is providing retail investors access to leading private technology companies, framing itself as 'democratizing' private market investing [1]. While access democratization has social merit, the articulation is generic and primarily financial in nature — interchangeable with any private market access fund. Community Impact (0/2): No evidence of charitable programs, community investment, or impact initiatives beyond the fund's investment activities [2]. Employee Retention (0/2): The fund has no reported employees; investment advisory services are provided by Powerlaw Fund Adviser, LLC, and no organizational culture or retention data exists [2]. Insider Buying (0/2): No evidence of insider buying was found; the fund listed via direct listing in May 2026 and share trading data is limited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Standard operating metrics cannot be meaningfully applied to a closed-end investment fund. PWRL has no operating revenue, no earnings per share, no P/E ratio, no ROE, no D/E, and no operating profit margin in the traditional sense — the fund generates returns through capital appreciation of its private technology holdings, not operating income [2]. The only scoreable metric from yfinance is profit margin at 0.0% (score 0.0), reflecting the fund's structure rather than operational weakness. All other core and growth metrics return null and are excluded from the calculation. The resulting mechanical infrastructure score of 0 reflects the inapplicability of the framework rather than genuine financial distress — the fund holds $700.9M in NAV backed by positions in SpaceX, OpenAI, and other private technology leaders [1]. However, the 2.5% annual management fee, significant NAV-to-market-price discount (~26%), and no shareholder redemption rights represent real structural costs. Liquidity is marginal: daily dollar volume of approximately $1.9M barely clears the $1M floor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Powerlaw Corp. operates as a financial vehicle with no meaningful infinite game characteristics. The fund has been publicly traded for less than five months, has no employees, no articulated Just Cause beyond financial returns, and no organizational history from which to evaluate leadership courage, team trust, or existential flexibility. The fund exists to generate returns for shareholders by providing access to private technology companies — a definitionally finite objective in Sinek's framework. While the affiliated adviser Akkadian Ventures has a longer history in venture secondaries, the public entity PWRL has no track record to evaluate against infinite game criteria.</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Powerlaw's purpose of 'democratizing access to leading private technology companies' has a surface-level social merit but is primarily financial — the fund exists to generate investment returns through exposure to pre-IPO companies [1]. This is a shallow cause that reads as marketing rather than an idealistic vision of a future state that invites sacrifice. No evidence of a purpose beyond capital appreciation was found.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PWRL has no reported employees — investment advisory services are provided by Powerlaw Fund Adviser, LLC, and the fund's governance is handled by an independent board of directors as required for registered investment companies [2]. With no organizational team to evaluate, Sinek's Circle of Safety concept is not applicable. The fund's structure relies on external advisers rather than internal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was found. The fund's positioning emphasizes its unique access to private technology companies rather than acknowledging or learning from competitors' strengths in the private market access space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fund is too new (less than five months public) and too structurally constrained by its investment mandate to have demonstrated existential flexibility [1][2]. Closed-end funds operate within defined investment parameters and cannot fundamentally reinvent themselves without shareholder approval and regulatory changes. No evidence of strategic pivots or business model adaptation exists.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fund has been public for less than five months, providing no meaningful track record to evaluate leadership courage [1]. The decision to list via direct listing rather than traditional IPO could be interpreted as a modest innovation, but no evidence of courageous decisions sacrificing short-term returns for long-term capability exists. Management has not faced any public tests of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Powerlaw Corp. at $11.98 with a $517M market cap offers retail investors rare access to a concentrated portfolio of leading private technology companies — including SpaceX (~19% of NAV), OpenAI, Perplexity, Stripe, and Shield AI — through a single Nasdaq-listed security [1]. The fund's NAV of $700.9M ($16.21/share as of June 30, 2026) implies shares trade at a 26% discount to underlying asset value, potentially representing a compelling entry point if private market valuations hold. Akkadian Ventures, the affiliated adviser with $1.36B AUM, brings deep secondary market relationships and deal-sourcing capabilities. The AI-focused portfolio positions the fund to benefit from potential mega-IPOs (SpaceX, OpenAI) that could unlock significant NAV appreciation [1][2].</w:t>
      </w:r>
    </w:p>
    <w:p>
      <w:pPr>
        <w:spacing w:after="120"/>
      </w:pPr>
      <w:r>
        <w:rPr>
          <w:rFonts w:ascii="Calibri" w:hAnsi="Calibri"/>
          <w:b w:val="0"/>
          <w:color w:val="3A4A28"/>
          <w:sz w:val="20"/>
        </w:rPr>
        <w:t>The bear case is substantial for this newly listed, untested investment vehicle. The 26% discount to NAV may be justified by structural headwinds: a 2.5% annual management fee erodes returns, no shareholder redemption rights exist (liquidity depends entirely on secondary market demand), and approximately 80% of the portfolio is held in SPVs with opaque valuation methodologies approved by the fund's own board rather than marked to market prices [2]. The share price has fallen from a 52-week high of $40 to $11.98, a decline of 70%, suggesting the market has already repriced the fund's structural shortcomings. Daily dollar volume of just $1.9M barely clears the liquidity floor, creating significant execution risk for any position of meaningful size. The fund's concentration in private AI companies creates extreme correlation risk — a downturn in AI valuations or delayed IPO timelines for SpaceX and OpenAI would compress NAV, and approximately 57% of the portfolio was acquired through secondary purchases at prices that may not reflect current fair value. The Inspire Impact Score of 0 (MIXED) reflects the absence of both positive and negative attributions, as the fund is too new for Inspire to evaluate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SpaceX IPO or secondary tender offer repricing the largest portfolio position (19% of NAV) to public market multiples, potentially closing the NAV discount if the event validates or exceeds current private valuation [1]</w:t>
      </w:r>
    </w:p>
    <w:p>
      <w:pPr>
        <w:spacing w:before="40" w:after="40"/>
        <w:ind w:left="283"/>
      </w:pPr>
      <w:r>
        <w:rPr>
          <w:rFonts w:ascii="Calibri" w:hAnsi="Calibri"/>
          <w:b/>
          <w:color w:val="4A6B25"/>
          <w:sz w:val="20"/>
        </w:rPr>
        <w:t xml:space="preserve">2. </w:t>
      </w:r>
      <w:r>
        <w:rPr>
          <w:rFonts w:ascii="Calibri" w:hAnsi="Calibri"/>
          <w:b w:val="0"/>
          <w:color w:val="3A4A28"/>
          <w:sz w:val="20"/>
        </w:rPr>
        <w:t>OpenAI monetization acceleration and potential IPO providing a direct catalyst for NAV appreciation and improved market visibility for the fund's AI-focused thesis [1]</w:t>
      </w:r>
    </w:p>
    <w:p>
      <w:pPr>
        <w:spacing w:before="40" w:after="40"/>
        <w:ind w:left="283"/>
      </w:pPr>
      <w:r>
        <w:rPr>
          <w:rFonts w:ascii="Calibri" w:hAnsi="Calibri"/>
          <w:b/>
          <w:color w:val="4A6B25"/>
          <w:sz w:val="20"/>
        </w:rPr>
        <w:t xml:space="preserve">3. </w:t>
      </w:r>
      <w:r>
        <w:rPr>
          <w:rFonts w:ascii="Calibri" w:hAnsi="Calibri"/>
          <w:b w:val="0"/>
          <w:color w:val="3A4A28"/>
          <w:sz w:val="20"/>
        </w:rPr>
        <w:t>NAV discount narrowing from 26% as the fund establishes a track record, provides consistent quarterly portfolio disclosures, and investor familiarity with the closed-end fund structure increases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70% share price decline from 52-week high of $40 to $11.98 demonstrates extreme price volatility for a fund with no redemption rights — the NAV discount could widen further if private market sentiment deteriorates or large shareholders seek liquidity [2]</w:t>
      </w:r>
    </w:p>
    <w:p>
      <w:pPr>
        <w:spacing w:before="40" w:after="40"/>
        <w:ind w:left="283"/>
      </w:pPr>
      <w:r>
        <w:rPr>
          <w:rFonts w:ascii="Calibri" w:hAnsi="Calibri"/>
          <w:b/>
          <w:color w:val="4A6B25"/>
          <w:sz w:val="20"/>
        </w:rPr>
        <w:t xml:space="preserve">2. </w:t>
      </w:r>
      <w:r>
        <w:rPr>
          <w:rFonts w:ascii="Calibri" w:hAnsi="Calibri"/>
          <w:b w:val="0"/>
          <w:color w:val="3A4A28"/>
          <w:sz w:val="20"/>
        </w:rPr>
        <w:t>Opaque valuations — approximately 80% of portfolio in SPVs with fair values determined by the fund's own board rather than observable market prices, creating the potential for significant write-downs if private market conditions weaken [2]</w:t>
      </w:r>
    </w:p>
    <w:p>
      <w:pPr>
        <w:spacing w:before="40" w:after="40"/>
        <w:ind w:left="283"/>
      </w:pPr>
      <w:r>
        <w:rPr>
          <w:rFonts w:ascii="Calibri" w:hAnsi="Calibri"/>
          <w:b/>
          <w:color w:val="4A6B25"/>
          <w:sz w:val="20"/>
        </w:rPr>
        <w:t xml:space="preserve">3. </w:t>
      </w:r>
      <w:r>
        <w:rPr>
          <w:rFonts w:ascii="Calibri" w:hAnsi="Calibri"/>
          <w:b w:val="0"/>
          <w:color w:val="3A4A28"/>
          <w:sz w:val="20"/>
        </w:rPr>
        <w:t>2.5% annual management fee compounds to meaningful drag on long-term returns, and the fund's marginal daily dollar volume of $1.9M creates execution risk for institutional or meaningful retail positions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The fund management business model is structurally protected from AI disruption — private market investing requires human judgment, relationship networks, and access to secondary transactions that AI cannot easily replicate, and the closed-end fund structure itself is a regulated legal entity unaffected by AI technology [1][2]. However, the fund's NAV is heavily concentrated in AI-related companies (SpaceX, OpenAI, Shield AI, Prometheus), meaning a downturn in AI valuations would directly impair fund value even though the management structure itself is immune to AI disruption. The distinction is important: the business is immune, but the assets are correlated with AI market sentiment. AI Opportunity (1/1): PWRL generates meaningful value directly from AI-related holdings — the portfolio includes OpenAI, Perplexity, Shield AI, and Prometheus as named positions, and the fund's thesis explicitly centers on capturing value from AI, next-generation software, and related technology sectors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Powerlaw Corp. Portfolio and Structure — SpaceX 19% of NAV, OpenAI/Perplexity/Shield AI Holdings, Akkadian Ventures $1.36B AUM, Nasdaq Direct Listing May 27, 2026 — BusinessWire, Barchart, Las Vegas Sun,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Powerlaw Corp. NAV and Performance — NAV $700.9M ($16.21/share) as of June 30, 2026; Share Price $11.98; 2.5% Management Fee; 80% SPV Holdings; No Redemption Rights — SEC N-2 Filing, Market Chameleon, ChartMill,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