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PYPL</w:t>
      </w:r>
      <w:r>
        <w:rPr>
          <w:rFonts w:ascii="Calibri" w:hAnsi="Calibri"/>
          <w:b/>
          <w:color w:val="1A2010"/>
          <w:sz w:val="40"/>
        </w:rPr>
        <w:t xml:space="preserve">  PayPal Holdings, Inc.</w:t>
      </w:r>
    </w:p>
    <w:p>
      <w:pPr>
        <w:spacing w:after="120"/>
      </w:pPr>
      <w:r>
        <w:rPr>
          <w:rFonts w:ascii="Calibri" w:hAnsi="Calibri"/>
          <w:b/>
          <w:color w:val="6E8450"/>
          <w:sz w:val="18"/>
        </w:rPr>
        <w:t>GROWTH SLEEVE · 2026-10-03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NMS · United States</w:t>
      </w:r>
    </w:p>
    <w:p>
      <w:pPr>
        <w:spacing w:after="80"/>
      </w:pPr>
      <w:r>
        <w:rPr>
          <w:rFonts w:ascii="Calibri" w:hAnsi="Calibri"/>
          <w:b w:val="0"/>
          <w:color w:val="3A4A28"/>
          <w:sz w:val="20"/>
        </w:rPr>
        <w:t>PayPal operates a global digital payments platform including PayPal, Venmo, Braintree, Xoom and PayPal Credit. TTM revenue is $34.1B (up 5.7%) with a 14.4% profit margin; Q2 2026 revenue rose 5% to $8.7B with adjusted EPS of $1.38. Enrique Lores became CEO in February 2026, replacing Alex Chriss [1][2].</w:t>
      </w:r>
    </w:p>
    <w:p>
      <w:r>
        <w:rPr>
          <w:rFonts w:ascii="Calibri" w:hAnsi="Calibri"/>
          <w:b/>
          <w:color w:val="6E8450"/>
          <w:sz w:val="18"/>
        </w:rPr>
        <w:t>24,000 Employees · https://www.paypal.com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Chriss, PayPal pushed branded checkout, Fastlane, PYUSD and Venmo monetization, which are incremental extensions, and growth remains mid-single-digit [2]. AI Deployment (1/2): AI-powered smart wallets and shopping features are announced, but no quantified savings or revenue are reported [2]. Market Share (2/2): PayPal and Venmo are category leaders in online wallets, with Braintree and Venmo driving 5% transaction revenue growth to $7.83B [1]. Pipeline (1/2): Agentic commerce and BNPL are named priorities without dated revenue visibility. R&amp;D (1/1): Technology spend near 9% of revenue is above payments-industry averages (estimate).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mission to democratize financial services is clear but common among fintechs and has been diluted by repeated strategy resets [2]. Community Impact (1/2): General philanthropy and a Global Impact Report exist without distinctive dollar-specific programs found in research [3]. Employee Retention (0/2): A CEO change, board reshuffle and Glassdoor reviews citing deteriorating culture and 62% recommend indicate weak retention [2]. Insider Buying (0/2): No meaningful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mechanically as a Growth stock. D/E of 71.8% (0.99), ROE of 24.5% (1.0, 2x weight), Forward P/E of 9.1 (1.0) and estimated PEG of about 1.1 (0.95, 2x weight) score near maximum, while revenue growth of 4.8% YoY (0.83), 5-yr revenue CAGR of about 9% (0.94, 2x weight) and a 14.4% profit margin (0.72) are slightly below targets [1]. Weighted sum 9.3 of 10 gives 9. Daily dollar volume of about $750M is highly liquid.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PayPal has a stated democratizing mission but strategy has oscillated across three CEOs in this decade and employees report a risk-averse, deteriorating culture. The February 2026 leadership reset to Enrique Lores signals the board prioritizing a fix over steady course.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'Democratize financial services' reads as a mission statement and hasn't shaped consistent decisions amid repeated strategy resets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cite poor leadership, no appetite for risk and deteriorating culture, with only 62% recommending and leadership turmoil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framing Apple Pay, Stripe or Block as teachers; competition is discussed defensively.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unbranded processing to branded checkout and wallet features is incremental rather than transformative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Chriss's 'self-disruption' strategy accepted margin trade-offs to push branded checkout, but the board replaced him in 2026 over results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PayPal at $52.80 trades at 9.1x forward earnings with 24.5% ROE and D/E of 71.8%; Q2 2026 revenue rose 5% to $8.7B, adjusted EPS of $1.38 beat the $1.28 estimate, and full-year adjusted EPS guidance was raised to $5.38 from $5.31 in 2025 [1]. Braintree and Venmo are growing transaction revenue and a new CEO with a turnaround record at HP may unlock margin and capital return [1][2].</w:t>
      </w:r>
    </w:p>
    <w:p>
      <w:pPr>
        <w:spacing w:after="120"/>
      </w:pPr>
      <w:r>
        <w:rPr>
          <w:rFonts w:ascii="Calibri" w:hAnsi="Calibri"/>
          <w:b w:val="0"/>
          <w:color w:val="3A4A28"/>
          <w:sz w:val="20"/>
        </w:rPr>
        <w:t>The bear case is low growth and competitive pressure: adjusted EPS fell 1% YoY in Q2, currency-neutral revenue growth was only 3%, and the stock sits below its $56.42 50-day average [1]. Agentic AI checkout, Apple Pay and BNPL rivals threaten branded checkout, while a CEO change, interim leadership and culture complaints add execution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Lores-led reset targeting culture and core payments, with the market rewarding any acceleration beyond 5% growth [2]</w:t>
      </w:r>
    </w:p>
    <w:p>
      <w:pPr>
        <w:spacing w:before="40" w:after="40"/>
        <w:ind w:left="283"/>
      </w:pPr>
      <w:r>
        <w:rPr>
          <w:rFonts w:ascii="Calibri" w:hAnsi="Calibri"/>
          <w:b/>
          <w:color w:val="4A6B25"/>
          <w:sz w:val="20"/>
        </w:rPr>
        <w:t xml:space="preserve">2. </w:t>
      </w:r>
      <w:r>
        <w:rPr>
          <w:rFonts w:ascii="Calibri" w:hAnsi="Calibri"/>
          <w:b w:val="0"/>
          <w:color w:val="3A4A28"/>
          <w:sz w:val="20"/>
        </w:rPr>
        <w:t>Braintree and Venmo monetization continuing to lift transaction revenue, which grew 5% to $7.83B in Q2 2026 [1]</w:t>
      </w:r>
    </w:p>
    <w:p>
      <w:pPr>
        <w:spacing w:before="40" w:after="40"/>
        <w:ind w:left="283"/>
      </w:pPr>
      <w:r>
        <w:rPr>
          <w:rFonts w:ascii="Calibri" w:hAnsi="Calibri"/>
          <w:b/>
          <w:color w:val="4A6B25"/>
          <w:sz w:val="20"/>
        </w:rPr>
        <w:t xml:space="preserve">3. </w:t>
      </w:r>
      <w:r>
        <w:rPr>
          <w:rFonts w:ascii="Calibri" w:hAnsi="Calibri"/>
          <w:b w:val="0"/>
          <w:color w:val="3A4A28"/>
          <w:sz w:val="20"/>
        </w:rPr>
        <w:t>Raised FY2026 adjusted EPS guidance of $5.38 and buybacks at 9x forward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Agentic AI shopping bypassing PayPal's branded checkout and wallet choice, compressing take rate on the highest-margin volume [2]</w:t>
      </w:r>
    </w:p>
    <w:p>
      <w:pPr>
        <w:spacing w:before="40" w:after="40"/>
        <w:ind w:left="283"/>
      </w:pPr>
      <w:r>
        <w:rPr>
          <w:rFonts w:ascii="Calibri" w:hAnsi="Calibri"/>
          <w:b/>
          <w:color w:val="4A6B25"/>
          <w:sz w:val="20"/>
        </w:rPr>
        <w:t xml:space="preserve">2. </w:t>
      </w:r>
      <w:r>
        <w:rPr>
          <w:rFonts w:ascii="Calibri" w:hAnsi="Calibri"/>
          <w:b w:val="0"/>
          <w:color w:val="3A4A28"/>
          <w:sz w:val="20"/>
        </w:rPr>
        <w:t>Adjusted EPS declining 1% YoY despite beats, with currency-neutral revenue growth only 3% in Q2 2026 [1]</w:t>
      </w:r>
    </w:p>
    <w:p>
      <w:pPr>
        <w:spacing w:before="40" w:after="40"/>
        <w:ind w:left="283"/>
      </w:pPr>
      <w:r>
        <w:rPr>
          <w:rFonts w:ascii="Calibri" w:hAnsi="Calibri"/>
          <w:b/>
          <w:color w:val="4A6B25"/>
          <w:sz w:val="20"/>
        </w:rPr>
        <w:t xml:space="preserve">3. </w:t>
      </w:r>
      <w:r>
        <w:rPr>
          <w:rFonts w:ascii="Calibri" w:hAnsi="Calibri"/>
          <w:b w:val="0"/>
          <w:color w:val="3A4A28"/>
          <w:sz w:val="20"/>
        </w:rPr>
        <w:t>Leadership transition risk after CEO replacement, board reshuffle and Glassdoor reports of risk-averse culture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Agentic AI shopping can disintermediate branded checkout and wallet selection, and analysts and the Emerald case study flag execution and disruption risk for the new CEO's strategy, though PayPal's regulated money movement, fraud data and merchant network provide moats [2]. AI Opportunity (0/1): No quantifiable AI revenue is reported; smart wallet features are early-stage.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PayPal Q1 and Q2 2026 Earnings Releases and 10-Qs, SEC, April-July 2026; Quartz, Yahoo Finance coverage</w:t>
      </w:r>
    </w:p>
    <w:p>
      <w:pPr>
        <w:spacing w:before="20" w:after="20"/>
        <w:ind w:left="170"/>
      </w:pPr>
      <w:r>
        <w:rPr>
          <w:rFonts w:ascii="Calibri" w:hAnsi="Calibri"/>
          <w:b/>
          <w:color w:val="4A6B25"/>
          <w:sz w:val="15"/>
        </w:rPr>
        <w:t xml:space="preserve">2. </w:t>
      </w:r>
      <w:r>
        <w:rPr>
          <w:rFonts w:ascii="Calibri" w:hAnsi="Calibri"/>
          <w:b w:val="0"/>
          <w:color w:val="3A4A28"/>
          <w:sz w:val="17"/>
        </w:rPr>
        <w:t>PayPal CEO appointment (Enrique Lores, Feb 3, 2026), Crowdfund Insider, Yahoo Finance, Glassdoor reviews, 2025-2026</w:t>
      </w:r>
    </w:p>
    <w:p>
      <w:pPr>
        <w:spacing w:before="20" w:after="20"/>
        <w:ind w:left="170"/>
      </w:pPr>
      <w:r>
        <w:rPr>
          <w:rFonts w:ascii="Calibri" w:hAnsi="Calibri"/>
          <w:b/>
          <w:color w:val="4A6B25"/>
          <w:sz w:val="15"/>
        </w:rPr>
        <w:t xml:space="preserve">3. </w:t>
      </w:r>
      <w:r>
        <w:rPr>
          <w:rFonts w:ascii="Calibri" w:hAnsi="Calibri"/>
          <w:b w:val="0"/>
          <w:color w:val="3A4A28"/>
          <w:sz w:val="17"/>
        </w:rPr>
        <w:t>PayPal ESG and Global Impact Report summaries, Impakter and 3BL Media,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