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QGEN</w:t>
      </w:r>
      <w:r>
        <w:rPr>
          <w:rFonts w:ascii="Calibri" w:hAnsi="Calibri"/>
          <w:b/>
          <w:color w:val="1A2010"/>
          <w:sz w:val="40"/>
        </w:rPr>
        <w:t xml:space="preserve">  Qiagen N.V.</w:t>
      </w:r>
    </w:p>
    <w:p>
      <w:pPr>
        <w:spacing w:after="120"/>
      </w:pPr>
      <w:r>
        <w:rPr>
          <w:rFonts w:ascii="Calibri" w:hAnsi="Calibri"/>
          <w:b/>
          <w:color w:val="6E8450"/>
          <w:sz w:val="18"/>
        </w:rPr>
        <w:t>GROWTH SLEEVE · 2026-09-09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NYSE · Netherlands</w:t>
      </w:r>
    </w:p>
    <w:p>
      <w:pPr>
        <w:spacing w:after="80"/>
      </w:pPr>
      <w:r>
        <w:rPr>
          <w:rFonts w:ascii="Calibri" w:hAnsi="Calibri"/>
          <w:b w:val="0"/>
          <w:color w:val="3A4A28"/>
          <w:sz w:val="20"/>
        </w:rPr>
        <w:t>Qiagen is a Netherlands-based multinational specializing in sample and assay technologies for molecular diagnostics, applied testing, and academic/pharmaceutical research. Key product families include QuantiFERON (latent TB testing), QIAstat-Dx (syndromic testing), QIAcuity (digital PCR), and sample preparation kits used in laboratories worldwide. CEO Thierry Bernard (appointed October 2019) has positioned Qiagen as pursuing 'the most digital and AI-driven company in our industry.' Q2 2026 net sales were $535M (flat YoY reported/CER), exceeding guidance, with adjusted diluted EPS of $0.62. Full-year 2026 guidance targets 1-2% CER sales growth with adjusted EPS of at least $2.43.</w:t>
      </w:r>
    </w:p>
    <w:p>
      <w:r>
        <w:rPr>
          <w:rFonts w:ascii="Calibri" w:hAnsi="Calibri"/>
          <w:b/>
          <w:color w:val="6E8450"/>
          <w:sz w:val="18"/>
        </w:rPr>
        <w:t>6,000 Employees · https://www.qiagen.com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Qiagen has maintained its position as a leading molecular diagnostics provider but has not demonstrated meaningful revenue growth over the past five years — revenue peaked near $2.15B in 2021 during the COVID testing surge and has returned to approximately $2.0-2.1B, representing a 5-year CAGR of essentially 0% [1][2]. The company successfully navigated the post-COVID normalization, transitioning from pandemic-driven testing revenue to sustainable core business growth, but this represents stabilization rather than innovation-driven expansion. AI Deployment (1/2): CEO Bernard has explicitly stated the goal to become 'the most digital and AI-driven company in our industry,' and Qiagen Digital Insights is one of five growth pillars [4]. The platform applies AI/ML to genomic data interpretation, particularly in clinical and pharmaceutical research settings. However, AI deployment remains early-stage and has not yet demonstrated transformative revenue impact. Market Share (2/2): Qiagen holds dominant market positions in sample preparation (extraction kits are an industry standard), QuantiFERON (the leading latent TB test with regulatory clearances globally), and maintains strong positions in syndromic testing (QIAstat-Dx) and the emerging digital PCR market (QIAcuity) [1]. Product Pipeline (1/2): QIAcuity digital PCR is a growth driver entering a high-growth market segment. QIAstat-Dx is expanding its test menu for syndromic respiratory and other panels. However, the pipeline is largely incremental extensions of existing platforms rather than transformative new product categories. R&amp;D Intensity (1/1): Qiagen invests meaningfully in R&amp;D across molecular diagnostics, sample prep technology, and digital/AI capabilities, supported by dedicated research centers globally.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Qiagen's purpose — 'Making improvements in life possible' through molecular diagnostics — is specific, healthcare-oriented, and connects the company's work to patient outcomes and scientific advancement. The mission has shaped strategic decisions, including participation in more than 50 public health partnerships worldwide that directly serve underserved populations [5]. CEO Bernard's public commentary reflects genuine commitment to the healthcare mission rather than purely financial optimization. Community Impact (1/2): Qiagen contributes to 50+ public health partnerships globally, has validated science-based net zero carbon targets for 2050, and maintains comprehensive sustainability reporting aligned with major ESG frameworks [5]. The company's products inherently serve public health (TB detection, pandemic surveillance, cancer diagnostics), creating embedded social impact beyond philanthropy. However, the company's scale of community investment is modest relative to larger healthcare peers. Employee Retention (1/2): CEO Thierry Bernard has served for 6+ years, providing leadership stability. The company emphasizes a people-centered, performance-driven culture with employee development and equal opportunity programs [5]. However, no specific turnover or tenure data is publicly available. Insider Buying (0/2): No evidence of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Qiagen demonstrates strong fundamental infrastructure with an attractive forward P/E of 16.17x (well below the 20x target), robust profit margin of 20.33% (at the 20% target), and manageable leverage with D/E of 44% (below the 70% target) [6]. ROE of 11.57% is positive and solid but below the 15% target, scoring moderately with 2x growth weight. The primary drags are the company's slow growth trajectory — revenue growth YoY of approximately 1% (flat reported, guided 1-2% CER) and 5-year revenue CAGR of approximately 0% both score well below the 10% targets [1][2]. PEG ratio of 2.00 scores moderately against the 1.0 target with 2x weight, reflecting the premium paid for modest growth. The company's attractive valuation and strong profitability offset the growth weakness, yielding a solid infrastructure score. Qiagen easily clears the liquidity floor with approximately $114M in daily trading volume (2.81M shares at ~$40.50).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Qiagen demonstrates meaningful infinite game characteristics driven by its healthcare mission, long-tenured CEO, and commitment to public health partnerships. The company's 'Sample to Insight' vision articulates a durable purpose that extends beyond quarterly financial performance, and the 50+ public health partnerships represent tangible commitment to causes beyond profit [5]. However, the company's flat revenue growth over five years and conservative strategic posture suggest a tendency toward protecting the existing business rather than bold reinvention. The focus on incremental product extensions (new QIAstat-Dx panels, QIAcuity platform expansion) rather than transformative new categories reflects cautious, finite-game-influenced resource allocation.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'Making improvements in life possible' through molecular diagnostics is a genuine purpose that has been lived through decades of product development serving patient care, research, and public health [5]. The 50+ public health partnerships worldwide demonstrate commitment to the cause beyond commercially attractive markets. Qiagen's products enable TB detection in developing countries, pandemic surveillance, and cancer diagnostics — applications with clear social impact. However, the company's conservative growth strategy and premium dividend payouts suggest the cause does not always override financial pragmatism.</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Thierry Bernard's 6+ year tenure provides leadership stability, and the company's emphasis on a people-centered performance culture with development and equal opportunity programs suggests institutional investment in employee wellbeing [4][5]. The specialized nature of Qiagen's workforce (molecular biology, bioinformatics, regulatory affairs) creates high-expertise teams with deep domain knowledge. However, no specific employee engagement, turnover, or tenure data is publicly available to validate the cultural claims.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Qiagen competes with significantly larger rivals — Roche Diagnostics, Abbott, Thermo Fisher, Bio-Rad — and maintains a focused, differentiated competitive position rather than attempting to match these conglomerates across all categories. The company's willingness to compete in adjacent markets (digital PCR against Bio-Rad's established franchise, syndromic testing against BioFire/bioMerieux) while maintaining sample prep leadership shows healthy competitive ambition tempered by strategic focus.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Qiagen navigated the post-COVID testing decline by successfully transitioning from pandemic-driven revenue back to sustainable core business without significant organizational disruption — a meaningful adaptation [1]. The investment in digital PCR (QIAcuity) represents a new technology platform entering a growth market. However, the company has not demonstrated a truly transformative business model pivot; strategy has been incremental evolution of existing capabilities rather than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Qiagen has made steady long-term investments in new platforms (QIAcuity digital PCR, QIAstat-Dx syndromic testing) and AI capabilities (Qiagen Digital Insights) that position the company for future growth. The net zero 2050 commitment and public health partnerships demonstrate willingness to invest beyond near-term returns [5]. However, the company's overall strategic posture is conservative — modest growth, capital returns through dividends and buybacks, incremental product extensions — reflecting caution rather than bold, costly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Qiagen at 16.17x forward earnings is a high-quality defensive healthcare compounder with AI upside optionality — the company's 20.33% profit margin, 11.57% ROE, and manageable 44% D/E ratio demonstrate solid fundamental quality at a reasonable valuation [6]. Adjusted diluted EPS of $0.62 in Q2 2026 exceeded guidance, and the growth pillars (QIAcuity digital PCR, Qiagen Digital Insights, QuantiFERON, QIAstat-Dx, Sample technologies) delivered 5% CER growth in aggregate, outpacing the flat overall company revenue [1]. The 'most digital and AI-driven company in our industry' strategic vision under CEO Bernard (6+ year tenure) positions Qiagen to differentiate from commodity reagent suppliers through bioinformatics and clinical decision support [4]. Sample preparation remains an essential, sticky workflow in every molecular laboratory globally, providing durable recurring revenue. The 50+ public health partnerships and net zero 2050 commitment demonstrate ESG quality appropriate for healthcare investors.</w:t>
      </w:r>
    </w:p>
    <w:p>
      <w:pPr>
        <w:spacing w:after="120"/>
      </w:pPr>
      <w:r>
        <w:rPr>
          <w:rFonts w:ascii="Calibri" w:hAnsi="Calibri"/>
          <w:b w:val="0"/>
          <w:color w:val="3A4A28"/>
          <w:sz w:val="20"/>
        </w:rPr>
        <w:t>The bear case centers on growth stagnation and sector dynamics. Qiagen's revenue has been essentially flat for five years (5-year CAGR near 0%), reflecting the post-COVID testing normalization and mature penetration of core sample prep markets [1][2]. Guided 2026 CER growth of 1-2% is barely above inflation, and even the growth pillars at 5% CER growth are modest relative to the broader diagnostics market opportunity. U.S. immigration testing demand decline has pressured QuantiFERON, and QIAstat-Dx faces tough prior-year comparisons from respiratory testing season [1]. The PEG ratio of 2.00 suggests the stock is expensive relative to its growth rate, and any downward revision to growth expectations could compress the multiple. Competition from larger peers (Roche, Thermo Fisher, Abbott) with deeper R&amp;D budgets and broader distribution networks limits Qiagen's ability to gain share in new categories. The Inspire Impact Score of -49 (MISALIGNED) limits allocation for faith-based investors despite 21 positive ESG attributions and strong healthcare mission alignment.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QIAcuity digital PCR platform adoption accelerating as the technology moves from research to clinical applications — digital PCR offers superior sensitivity and precision versus traditional qPCR, addressing a multi-billion dollar market [1]</w:t>
      </w:r>
    </w:p>
    <w:p>
      <w:pPr>
        <w:spacing w:before="40" w:after="40"/>
        <w:ind w:left="283"/>
      </w:pPr>
      <w:r>
        <w:rPr>
          <w:rFonts w:ascii="Calibri" w:hAnsi="Calibri"/>
          <w:b/>
          <w:color w:val="4A6B25"/>
          <w:sz w:val="20"/>
        </w:rPr>
        <w:t xml:space="preserve">2. </w:t>
      </w:r>
      <w:r>
        <w:rPr>
          <w:rFonts w:ascii="Calibri" w:hAnsi="Calibri"/>
          <w:b w:val="0"/>
          <w:color w:val="3A4A28"/>
          <w:sz w:val="20"/>
        </w:rPr>
        <w:t>AI-driven bioinformatics through Qiagen Digital Insights creates differentiation and upsell opportunity as genomic data volumes explode in precision medicine, companion diagnostics, and population health applications [4]</w:t>
      </w:r>
    </w:p>
    <w:p>
      <w:pPr>
        <w:spacing w:before="40" w:after="40"/>
        <w:ind w:left="283"/>
      </w:pPr>
      <w:r>
        <w:rPr>
          <w:rFonts w:ascii="Calibri" w:hAnsi="Calibri"/>
          <w:b/>
          <w:color w:val="4A6B25"/>
          <w:sz w:val="20"/>
        </w:rPr>
        <w:t xml:space="preserve">3. </w:t>
      </w:r>
      <w:r>
        <w:rPr>
          <w:rFonts w:ascii="Calibri" w:hAnsi="Calibri"/>
          <w:b w:val="0"/>
          <w:color w:val="3A4A28"/>
          <w:sz w:val="20"/>
        </w:rPr>
        <w:t>Second-half 2026 growth acceleration to 3-4% CER (guided) as QuantiFERON immigration testing stabilizes and QIAstat-Dx respiratory panels benefit from normalized seasonal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stagnation — 5-year CAGR of approximately 0% and guided 2026 growth of 1-2% CER suggests the company may be approaching mature-market steady state without a transformative growth catalyst [1][2]</w:t>
      </w:r>
    </w:p>
    <w:p>
      <w:pPr>
        <w:spacing w:before="40" w:after="40"/>
        <w:ind w:left="283"/>
      </w:pPr>
      <w:r>
        <w:rPr>
          <w:rFonts w:ascii="Calibri" w:hAnsi="Calibri"/>
          <w:b/>
          <w:color w:val="4A6B25"/>
          <w:sz w:val="20"/>
        </w:rPr>
        <w:t xml:space="preserve">2. </w:t>
      </w:r>
      <w:r>
        <w:rPr>
          <w:rFonts w:ascii="Calibri" w:hAnsi="Calibri"/>
          <w:b w:val="0"/>
          <w:color w:val="3A4A28"/>
          <w:sz w:val="20"/>
        </w:rPr>
        <w:t>Competitive pressure from larger diagnostics conglomerates (Roche, Thermo Fisher, Abbott) with deeper R&amp;D budgets and broader distribution that can outspend Qiagen in emerging technology categories like digital PCR and AI diagnostics</w:t>
      </w:r>
    </w:p>
    <w:p>
      <w:pPr>
        <w:spacing w:before="40" w:after="40"/>
        <w:ind w:left="283"/>
      </w:pPr>
      <w:r>
        <w:rPr>
          <w:rFonts w:ascii="Calibri" w:hAnsi="Calibri"/>
          <w:b/>
          <w:color w:val="4A6B25"/>
          <w:sz w:val="20"/>
        </w:rPr>
        <w:t xml:space="preserve">3. </w:t>
      </w:r>
      <w:r>
        <w:rPr>
          <w:rFonts w:ascii="Calibri" w:hAnsi="Calibri"/>
          <w:b w:val="0"/>
          <w:color w:val="3A4A28"/>
          <w:sz w:val="20"/>
        </w:rPr>
        <w:t>QuantiFERON U.S. immigration testing demand decline may prove structural rather than cyclical if immigration policy changes permanently reduce screening volumes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Molecular diagnostics is structurally protected from AI disruption because it requires physical sample collection, wet-lab processing (DNA/RNA extraction, PCR amplification), and regulatory-cleared instruments — none of which can be replaced by software [1]. Qiagen's business involves physical consumables (extraction kits, reagents, test cartridges) sold into clinical laboratories with regulatory barriers to entry (FDA, CE-IVD clearances requiring multi-year clinical trials). The installed base of instruments (QIAcuity, QIAstat-Dx, EZ1 extractors) creates recurring consumable revenue with high switching costs. However, AI could potentially disrupt the interpretation layer of diagnostics (bioinformatics analysis, clinical decision support), and AI-native competitors could build computational diagnostics that bypass some physical testing workflows for certain applications. AI Opportunity (1/1): Qiagen is proactively positioning AI as a growth driver through Qiagen Digital Insights, which applies AI/ML to genomic data interpretation for clinical and research applications [4]. CEO Bernard's stated goal to become 'the most digital and AI-driven company in our industry' reflects strategic commitment. AI-enhanced bioinformatics creates upsell opportunities within the existing customer base and differentiates Qiagen's platform from commodity reagent suppliers. The combination of physical sample-to-insight workflows with AI-powered interpretation creates a unique value proposition that neither pure lab nor pure software competitors can easily replicate.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Qiagen Q2 2026 Earnings Release — Net Sales $535M (flat YoY reported/CER), Adjusted Diluted EPS $0.62, Growth Pillars +5% CER, Reaffirmed Full-Year Outlook, August 2026</w:t>
      </w:r>
    </w:p>
    <w:p>
      <w:pPr>
        <w:spacing w:before="20" w:after="20"/>
        <w:ind w:left="170"/>
      </w:pPr>
      <w:r>
        <w:rPr>
          <w:rFonts w:ascii="Calibri" w:hAnsi="Calibri"/>
          <w:b/>
          <w:color w:val="4A6B25"/>
          <w:sz w:val="15"/>
        </w:rPr>
        <w:t xml:space="preserve">2. </w:t>
      </w:r>
      <w:r>
        <w:rPr>
          <w:rFonts w:ascii="Calibri" w:hAnsi="Calibri"/>
          <w:b w:val="0"/>
          <w:color w:val="3A4A28"/>
          <w:sz w:val="17"/>
        </w:rPr>
        <w:t>Qiagen Q1 2026 Earnings Release — Net Sales $492M (+2% reported, -1% CER), Confirmed 2026 Guidance for 1-2% CER Growth, Adjusted EPS at least $2.43, May 2026</w:t>
      </w:r>
    </w:p>
    <w:p>
      <w:pPr>
        <w:spacing w:before="20" w:after="20"/>
        <w:ind w:left="170"/>
      </w:pPr>
      <w:r>
        <w:rPr>
          <w:rFonts w:ascii="Calibri" w:hAnsi="Calibri"/>
          <w:b/>
          <w:color w:val="4A6B25"/>
          <w:sz w:val="15"/>
        </w:rPr>
        <w:t xml:space="preserve">3. </w:t>
      </w:r>
      <w:r>
        <w:rPr>
          <w:rFonts w:ascii="Calibri" w:hAnsi="Calibri"/>
          <w:b w:val="0"/>
          <w:color w:val="3A4A28"/>
          <w:sz w:val="17"/>
        </w:rPr>
        <w:t>QIAGEN Revenue Historical Data 2012-2026 — MacroTrends, StockAnalysis,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Qiagen CEO Thierry Bernard AI and Digital Strategy — 'Most digital and AI-driven company in our industry,' Qiagen Digital Insights Growth Pillar, MedEdge EMEA Interview, 2025-2026</w:t>
      </w:r>
    </w:p>
    <w:p>
      <w:pPr>
        <w:spacing w:before="20" w:after="20"/>
        <w:ind w:left="170"/>
      </w:pPr>
      <w:r>
        <w:rPr>
          <w:rFonts w:ascii="Calibri" w:hAnsi="Calibri"/>
          <w:b/>
          <w:color w:val="4A6B25"/>
          <w:sz w:val="15"/>
        </w:rPr>
        <w:t xml:space="preserve">5. </w:t>
      </w:r>
      <w:r>
        <w:rPr>
          <w:rFonts w:ascii="Calibri" w:hAnsi="Calibri"/>
          <w:b w:val="0"/>
          <w:color w:val="3A4A28"/>
          <w:sz w:val="17"/>
        </w:rPr>
        <w:t>Qiagen Sustainability Statement 2025 — Net Zero 2050 Target, 50+ Public Health Partnerships, SASB-aligned Reporting, ESG Ratings, 2025</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QGEN Key Statistics: Forward P/E 16.17, PEG 2.0, D/E 44%, ROE 11.57%, Profit Margin 20.33%,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