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QSR</w:t>
      </w:r>
      <w:r>
        <w:rPr>
          <w:rFonts w:ascii="Calibri" w:hAnsi="Calibri"/>
          <w:b/>
          <w:color w:val="1A2010"/>
          <w:sz w:val="40"/>
        </w:rPr>
        <w:t xml:space="preserve">  Restaurant Brands International Inc.</w:t>
      </w:r>
    </w:p>
    <w:p>
      <w:pPr>
        <w:spacing w:after="120"/>
      </w:pPr>
      <w:r>
        <w:rPr>
          <w:rFonts w:ascii="Calibri" w:hAnsi="Calibri"/>
          <w:b/>
          <w:color w:val="6E8450"/>
          <w:sz w:val="18"/>
        </w:rPr>
        <w:t>DIVIDEND SLEEVE · 2026-09-01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Canada</w:t>
      </w:r>
    </w:p>
    <w:p>
      <w:pPr>
        <w:spacing w:after="80"/>
      </w:pPr>
      <w:r>
        <w:rPr>
          <w:rFonts w:ascii="Calibri" w:hAnsi="Calibri"/>
          <w:b w:val="0"/>
          <w:color w:val="3A4A28"/>
          <w:sz w:val="20"/>
        </w:rPr>
        <w:t>Restaurant Brands International is one of the world's largest quick-service restaurant companies, operating four iconic brands: Burger King (second-largest global hamburger chain), Tim Hortons (dominant Canadian coffee/breakfast chain), Popeyes Louisiana Kitchen (leading chicken QSR), and Firehouse Subs. RBI operates primarily through a franchise model with over 30,000 restaurants across 100+ countries. Q2 2026 revenue rose 4.5% to $2.52B with comparable sales accelerating to +3.8%, led by BK US same-store sales of +8.5%. The company targets 8% organic adjusted operating income growth in 2026 and 3%+ comparable sales through 2028.</w:t>
      </w:r>
    </w:p>
    <w:p>
      <w:r>
        <w:rPr>
          <w:rFonts w:ascii="Calibri" w:hAnsi="Calibri"/>
          <w:b/>
          <w:color w:val="6E8450"/>
          <w:sz w:val="18"/>
        </w:rPr>
        <w:t>4,500 Employees · https://www.rbi.com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Burger King 'Reclaim the Flame' turnaround plan is a significant strategic initiative with $400M+ in investments across restaurant modernization, marketing, and digital capabilities. The results are demonstrable: BK US same-store sales surged 8.5% in Q2 2026, reversing years of underperformance relative to McDonald's [1]. The Carrols Restaurant Group acquisition brought approximately 1,000 underperforming BK locations in-house for direct operational improvement. These represent a meaningful business transformation that has opened a new growth trajectory. AI Deployment (0/2): No evidence of AI-powered products shipping to customers or specific AI-driven cost savings at RBI was found. Industry reports indicate QSR chains broadly are investing in AI for ordering, kitchen optimization, and drive-through automation, but RBI's SEC filing treats AI primarily as a cybersecurity risk factor rather than an innovation driver [2]. Market Share (1/2): RBI operates multiple leading QSR brands — Tim Hortons dominates Canadian coffee/breakfast with ~80% market share, Popeyes is a fast-growing chicken chain, and Burger King is the #2 global hamburger chain gaining share with +8.5% US same-store sales [1]. However, BK remains structurally behind McDonald's globally, and no single brand is the definitive category leader across all geographies. Product Pipeline (1/2): Reclaim the Flame Phase 2 has specific investment plans and restaurant count targets. International expansion continues with net new restaurant openings. However, specific next-generation product launches with revenue visibility beyond the current turnaround plan were not identified. R&amp;D Intensity (0/1): As a franchisor, RBI's R&amp;D spending is minimal relative to revenue. Innovation is primarily in marketing, digital ordering, and franchise support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RBI's brand-level purposes (BK: 'Taste is King'; Tim Hortons: community gathering place; Popeyes: Louisiana-inspired food culture) are individually identifiable but RBI as a corporate entity lacks a distinctive overarching purpose beyond growing QSR brands profitably. The corporate mission is operationally focused on being a great franchisor, which is clear but not inspiring — it does not articulate a vision of a better future or a deeper 'why' beyond commercial success. Community Impact (1/2): RBI's brands have established charitable programs including the Tim Hortons Foundation Camps (formerly Tim Horton Children's Foundation) and the Burger King McLamore Foundation providing scholarships. Tim Hortons' Smile Cookie campaign donates proceeds to local charities across Canada [3]. However, RBI's corporate ESG disclosure has been flagged as weak by Sustainalytics, with shareholder resolutions demanding better reporting on deforestation supply chain impacts. Employee Retention (0/2): No specific employee tenure or voluntary turnover data is publicly available. Available evidence suggests retention challenges at the corporate level rather than strength. Insider Buying (0/2): No evidence of meaningful net insider buying by executives was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The primary weakness is extremely high leverage: D/E of 290% is just below the 300% floor, scoring only 0.04 — reflecting the debt-heavy capital structure typical of 3G Capital-backed QSR franchisors [4]. However, most other metrics score well: ROE of 34.79% (1.0), Forward P/E of 18.42 below the 20 target (1.0), 5-year revenue CAGR of approximately 11% above the 10% target (1.0), and 10 consecutive years of dividend payments at the target threshold (1.0 with 2x weight) [4]. Revenue growth YoY of approximately 5.5% scores 0.85, and profit margin of 13.13% scores 0.66. Dividend metrics are mixed: payout ratio of 70.12% scores 0.50, consecutive years of growth estimated at 5 scores 0.50, and 5-year dividend growth CAGR of approximately 4.6% scores 0.77 with 2x weight. The high D/E is partially offset by the franchise model's asset-light cash flow generation ($1.59B FCF). Liquidity is strong at $174M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RBI exhibits a predominantly finite competitive mindset shaped by its origins as a 3G Capital-backed holding company built through leveraged acquisitions and zero-based budgeting. The Burger King turnaround demonstrates some courage and flexibility, but the corporate culture remains aggressively cost-focused with top-down decision-making that contradicts Sinek's trust model. Employee reviews describe a 'terrible culture' with high turnover and lack of trust, and competitive positioning focuses on 'reclaiming' lost ground against McDonald's rather than building toward an enduring purpose. The company operates four iconic brands but has not articulated a Just Cause that connects them to something bigger than quarterly comparable sales.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RBI's purpose is operational — being a great franchisor of QSR brands. While individual brands have cultural identities (Tim Hortons as a Canadian community institution, Popeyes as Louisiana food culture), the corporate entity does not articulate a Just Cause that describes a better future or inspires sacrifice [1]. Strategic communication centers on financial targets: 3%+ comparable sales, 8%+ operating income growth, and restaurant count expansion through 2028. The company's 3G Capital heritage emphasizes financial engineering and cost discipline, which are finite-game tools. The Reclaim the Flame initiative is about restoring a brand, not advancing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Available evidence suggests a low-trust corporate environment. Employee reviews describe the culture as 'terrible' with a 'complete lack of trust of employees,' 'top-down decision-making,' and 'aggressive' management with 'swift and sudden changes in direction to follow competing brands' [5]. Average senior management tenure is reportedly under 5 years, indicating high turnover at leadership levels. The 3G Capital management philosophy of zero-based budgeting and aggressive cost-cutting creates an environment where employees justify their positions quarterly rather than feeling safe to innovate. While the visibility to senior leadership is noted as positive, the overall organizational culture appears fear-driven rather than trust-based.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RBI's competitive posture toward McDonald's — its primary rival — is oriented toward closing the gap and 'reclaiming' market position rather than learning from McDonald's strengths. The 'Reclaim the Flame' initiative name itself implies a finite competitive mindset: reclaiming something lost, not improving toward a vision [1]. Management commentary focuses on comparable sales growth relative to competitors, market share metrics, and restaurant count targets. No evidence was found of leadership acknowledging McDonald's strengths as motivation for self-improvement or framing competitive dynamics as an opportunity to learn.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RBI has shown strategic flexibility through portfolio diversification — acquiring Tim Hortons (2014), Popeyes (2017), and Firehouse Subs (2021) to evolve from a single-brand burger chain (Burger King) into a multi-brand QSR platform spanning burgers, coffee, chicken, and subs [1]. The Reclaim the Flame plan represents meaningful reinvention of BK's operating model. However, these are incremental portfolio additions rather than transformative pivots — the company remains fundamentally in the same business (franchised fast food) with the same model (leveraged acquisitions, franchise fees, zero-based budgeting). No evidence of a willingness to abandon a profitable segment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Reclaim the Flame initiative demonstrates courage — investing $400M+ in a multi-year turnaround of Burger King US when it would have been easier to accept the brand's decline and focus on faster-growing Popeyes and Tim Hortons [1]. The Carrols acquisition required absorbing 1,000 underperforming restaurants for direct operational improvement, a near-term earnings drag in service of long-term brand health. However, the pattern is limited — RBI has not demonstrated the willingness to exit profitable but misaligned businesses or make decisions that sacrifice quarterly earnings for principle. The company's financial engineering approach (high leverage, zero-based budgeting) prioritizes capital efficiency over the kind of purposeful investment Sinek associates with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RBI is a turnaround story anchored by Burger King's Reclaim the Flame initiative, which is delivering demonstrable results with BK US same-store sales of +8.5% in Q2 2026 — the strongest growth in years [1]. The multi-brand portfolio ($9.7B TTM revenue) provides diversification across burger, coffee, chicken, and sub categories, with Tim Hortons dominating Canadian QSR and Popeyes expanding internationally. At 18.4x forward P/E with a 3.32% dividend yield, the stock offers reasonable value for a franchise-model QSR with $1.59B in free cash flow [4]. The company targets 3%+ comparable sales and 8%+ organic operating income growth through 2028, providing multi-year earnings visibility. The franchise model's asset-light structure generates strong returns on capital despite the high debt load (34.8% ROE).</w:t>
      </w:r>
    </w:p>
    <w:p>
      <w:pPr>
        <w:spacing w:after="120"/>
      </w:pPr>
      <w:r>
        <w:rPr>
          <w:rFonts w:ascii="Calibri" w:hAnsi="Calibri"/>
          <w:b w:val="0"/>
          <w:color w:val="3A4A28"/>
          <w:sz w:val="20"/>
        </w:rPr>
        <w:t>The bear case centers on leverage, culture, and growth sustainability. D/E of 290% leaves minimal margin for error — a sustained downturn in same-store sales or a credit market disruption could stress the $14.5B+ debt load that the franchise fee stream supports [4]. The payout ratio of 70% limits dividend growth potential and reinvestment capacity. Corporate culture concerns are persistent: employee reviews describe 'terrible culture' with high turnover, and the 3G Capital zero-based budgeting philosophy prioritizes cost extraction over the organic innovation that builds enduring brands [5]. BK US has historically struggled to sustain turnaround momentum — prior initiatives generated temporary same-store sales lifts followed by reversion. Revenue growth of ~5.5% YoY and 3-year growth forecast of 1.8% suggest the current acceleration may be peaking. Deforestation supply chain concerns and weak ESG disclosure have attracted shareholder activism and could create reputational risk for consumer-facing brands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Burger King US Reclaim the Flame Phase 2 investments driving 8.5% same-store sales growth with potential for sustained momentum through 2027-2028 remodel cycle</w:t>
      </w:r>
    </w:p>
    <w:p>
      <w:pPr>
        <w:spacing w:before="40" w:after="40"/>
        <w:ind w:left="283"/>
      </w:pPr>
      <w:r>
        <w:rPr>
          <w:rFonts w:ascii="Calibri" w:hAnsi="Calibri"/>
          <w:b/>
          <w:color w:val="4A6B25"/>
          <w:sz w:val="20"/>
        </w:rPr>
        <w:t xml:space="preserve">2. </w:t>
      </w:r>
      <w:r>
        <w:rPr>
          <w:rFonts w:ascii="Calibri" w:hAnsi="Calibri"/>
          <w:b w:val="0"/>
          <w:color w:val="3A4A28"/>
          <w:sz w:val="20"/>
        </w:rPr>
        <w:t>International restaurant expansion contributing net new units across 100+ countries, with Popeyes international as a significant white-space growth opportunity</w:t>
      </w:r>
    </w:p>
    <w:p>
      <w:pPr>
        <w:spacing w:before="40" w:after="40"/>
        <w:ind w:left="283"/>
      </w:pPr>
      <w:r>
        <w:rPr>
          <w:rFonts w:ascii="Calibri" w:hAnsi="Calibri"/>
          <w:b/>
          <w:color w:val="4A6B25"/>
          <w:sz w:val="20"/>
        </w:rPr>
        <w:t xml:space="preserve">3. </w:t>
      </w:r>
      <w:r>
        <w:rPr>
          <w:rFonts w:ascii="Calibri" w:hAnsi="Calibri"/>
          <w:b w:val="0"/>
          <w:color w:val="3A4A28"/>
          <w:sz w:val="20"/>
        </w:rPr>
        <w:t>Margin expansion from franchise model leverage as comparable sales growth flows through at high incrementals on the asset-light fee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290% creates significant financial fragility — a consumer spending downturn compressing same-store sales could stress debt service on $14.5B+ in total debt</w:t>
      </w:r>
    </w:p>
    <w:p>
      <w:pPr>
        <w:spacing w:before="40" w:after="40"/>
        <w:ind w:left="283"/>
      </w:pPr>
      <w:r>
        <w:rPr>
          <w:rFonts w:ascii="Calibri" w:hAnsi="Calibri"/>
          <w:b/>
          <w:color w:val="4A6B25"/>
          <w:sz w:val="20"/>
        </w:rPr>
        <w:t xml:space="preserve">2. </w:t>
      </w:r>
      <w:r>
        <w:rPr>
          <w:rFonts w:ascii="Calibri" w:hAnsi="Calibri"/>
          <w:b w:val="0"/>
          <w:color w:val="3A4A28"/>
          <w:sz w:val="20"/>
        </w:rPr>
        <w:t>Corporate culture described as 'terrible' with high senior management turnover and aggressive zero-based budgeting philosophy that may undermine long-term brand health and innovation</w:t>
      </w:r>
    </w:p>
    <w:p>
      <w:pPr>
        <w:spacing w:before="40" w:after="40"/>
        <w:ind w:left="283"/>
      </w:pPr>
      <w:r>
        <w:rPr>
          <w:rFonts w:ascii="Calibri" w:hAnsi="Calibri"/>
          <w:b/>
          <w:color w:val="4A6B25"/>
          <w:sz w:val="20"/>
        </w:rPr>
        <w:t xml:space="preserve">3. </w:t>
      </w:r>
      <w:r>
        <w:rPr>
          <w:rFonts w:ascii="Calibri" w:hAnsi="Calibri"/>
          <w:b w:val="0"/>
          <w:color w:val="3A4A28"/>
          <w:sz w:val="20"/>
        </w:rPr>
        <w:t>BK US turnaround sustainability is uncertain — prior initiatives produced temporary same-store sales lifts followed by reversion, and the current 8.5% growth rate may be difficult to sustain beyond the remodel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Restaurant Brands International's core business — operating franchised quick-service restaurants serving food through physical locations — is structurally immune to AI disruption. Cooking food, managing restaurant real estate, and serving customers are physical-world operations that AI cannot displace [2]. The franchise model adds an additional layer of protection: 30,000+ franchise relationships across 100+ countries create switching costs and local market knowledge that are inherently human. AI is positioned as an efficiency enabler (drive-through voice ordering, kitchen optimization, staff scheduling) rather than a substitution threat. No analysts have flagged AI as a risk to QSR restaurant chains; the primary competitive threats remain other physical restaurant brands and changing consumer preferences. The only downward pressure is that AI-enabled competitors could achieve better operational efficiency, modestly pressuring margins for slower adopters. AI Opportunity (0/1): RBI does not generate quantifiable revenue from AI products or services. While the company likely uses AI tools internally for marketing, supply chain, and operations, no specific AI revenue or measurable AI-driven savings were disclosed in earnings materials.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Restaurant Brands International Q2 2026 Earnings Release, August 2026</w:t>
      </w:r>
    </w:p>
    <w:p>
      <w:pPr>
        <w:spacing w:before="20" w:after="20"/>
        <w:ind w:left="170"/>
      </w:pPr>
      <w:r>
        <w:rPr>
          <w:rFonts w:ascii="Calibri" w:hAnsi="Calibri"/>
          <w:b/>
          <w:color w:val="4A6B25"/>
          <w:sz w:val="15"/>
        </w:rPr>
        <w:t xml:space="preserve">2. </w:t>
      </w:r>
      <w:r>
        <w:rPr>
          <w:rFonts w:ascii="Calibri" w:hAnsi="Calibri"/>
          <w:b w:val="0"/>
          <w:color w:val="3A4A28"/>
          <w:sz w:val="17"/>
        </w:rPr>
        <w:t>Restaurant Brands International Form ARS FY2025, SEC Filing — AI and cybersecurity risk disclosures</w:t>
      </w:r>
    </w:p>
    <w:p>
      <w:pPr>
        <w:spacing w:before="20" w:after="20"/>
        <w:ind w:left="170"/>
      </w:pPr>
      <w:r>
        <w:rPr>
          <w:rFonts w:ascii="Calibri" w:hAnsi="Calibri"/>
          <w:b/>
          <w:color w:val="4A6B25"/>
          <w:sz w:val="15"/>
        </w:rPr>
        <w:t xml:space="preserve">3. </w:t>
      </w:r>
      <w:r>
        <w:rPr>
          <w:rFonts w:ascii="Calibri" w:hAnsi="Calibri"/>
          <w:b w:val="0"/>
          <w:color w:val="3A4A28"/>
          <w:sz w:val="17"/>
        </w:rPr>
        <w:t>Shareholder Resolution on Deforestation Supply Chain Reporting, RBI ESG Disclosure, Sustainalytics assessment</w:t>
      </w:r>
    </w:p>
    <w:p>
      <w:pPr>
        <w:spacing w:before="20" w:after="20"/>
        <w:ind w:left="170"/>
      </w:pPr>
      <w:r>
        <w:rPr>
          <w:rFonts w:ascii="Calibri" w:hAnsi="Calibri"/>
          <w:b/>
          <w:color w:val="4A6B25"/>
          <w:sz w:val="15"/>
        </w:rPr>
        <w:t xml:space="preserve">4. </w:t>
      </w:r>
      <w:r>
        <w:rPr>
          <w:rFonts w:ascii="Calibri" w:hAnsi="Calibri"/>
          <w:b w:val="0"/>
          <w:color w:val="3A4A28"/>
          <w:sz w:val="17"/>
        </w:rPr>
        <w:t>Stock Analysis — QSR Statistics, Valuation Metrics, and Dividend Data,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Employee Reviews — Restaurant Brands International company culture,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