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QURE</w:t>
      </w:r>
      <w:r>
        <w:rPr>
          <w:rFonts w:ascii="Calibri" w:hAnsi="Calibri"/>
          <w:b/>
          <w:color w:val="1A2010"/>
          <w:sz w:val="40"/>
        </w:rPr>
        <w:t xml:space="preserve">  uniQure N.V.</w:t>
      </w:r>
    </w:p>
    <w:p>
      <w:pPr>
        <w:spacing w:after="120"/>
      </w:pPr>
      <w:r>
        <w:rPr>
          <w:rFonts w:ascii="Calibri" w:hAnsi="Calibri"/>
          <w:b/>
          <w:color w:val="6E8450"/>
          <w:sz w:val="18"/>
        </w:rPr>
        <w:t>GROWTH SLEEVE · 2026-09-02 · Inspire: 16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Netherlands</w:t>
      </w:r>
    </w:p>
    <w:p>
      <w:pPr>
        <w:spacing w:after="80"/>
      </w:pPr>
      <w:r>
        <w:rPr>
          <w:rFonts w:ascii="Calibri" w:hAnsi="Calibri"/>
          <w:b w:val="0"/>
          <w:color w:val="3A4A28"/>
          <w:sz w:val="20"/>
        </w:rPr>
        <w:t>uniQure N.V. is a gene therapy company focused on transformative single-administration therapies for severe genetic diseases. Lead commercial product HEMGENIX is the only FDA-approved AAV gene therapy for hemophilia B, with 75+ patients treated across 8 countries. Lead pipeline candidate AMT-130 for Huntington's disease received FDA agreement on accelerated approval pathway in June 2026, with BLA submission planned Q3 2026. Pipeline includes AMT-191 (Fabry disease) and AMT-260 (refractory epilepsy). Cash position strengthened to ~$810M following a $259M follow-on offering in Q2 2026, extending runway into 2030. Market cap ~$3.3B.</w:t>
      </w:r>
    </w:p>
    <w:p>
      <w:r>
        <w:rPr>
          <w:rFonts w:ascii="Calibri" w:hAnsi="Calibri"/>
          <w:b/>
          <w:color w:val="6E8450"/>
          <w:sz w:val="18"/>
        </w:rPr>
        <w:t>300 Employees · https://www.uniqure.com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HEMGENIX for hemophilia B is the only FDA-approved AAV gene therapy for the indication, with five-year HOPE-B data confirming long-term durability — mean factor IX activity ~36.1% and ~90% reduction in bleeding rate [1]. Over 75 patients treated across 8 countries validates real-world execution. AMT-130 achieved positive Phase I/II topline results for Huntington's disease with statistically significant 75% slowing of disease progression at 36 months versus propensity-matched external controls [2]. AI Deployment (0/2): No AI-powered products or quantified AI-driven operational savings reported. Market Share (2/2): Category creator and leader in hemophilia B gene therapy with the only approved AAV-based treatment, defining the treatment paradigm [1]. AMT-130 would be the first-ever gene therapy for Huntington's disease if approved, creating a new therapeutic category with no direct competitors near approval [2]. Product Pipeline (2/2): AMT-130 BLA submission planned Q3 2026 with FDA agreement on accelerated approval pathway based on three-year data; AMT-191 for Fabry disease showed sustained enzyme activity enabling all patients to discontinue enzyme replacement therapy; AMT-260 for refractory epilepsy in Phase I/IIa showing early biological signals of therapeutic activity; UK MAA submission targeted Q3 2026 [2][3]. R&amp;D Intensity (1/1): Pre-commercial biotech with R&amp;D spending vastly exceeding revenue — Q1 2026 operating expenses of $56M+ against $3.6M revenue reflects near-total R&amp;D focus, well above the biotech industry average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uniQure's purpose — 'delivering on the promise of gene therapy, a single treatment with curative results' — is specific, intentional, and connects gene therapy development to fundamentally changing patient lives for devastating genetic diseases [1]. CEO Matt Kapusta has declared 'corporate culture is the only sustainable competitive advantage that is completely within our control,' demonstrating organizational intentionality beyond financial metrics [2]. The mission has guided strategic decisions including the costly pivot from hemophilia to neurological diseases and persistence through FDA regulatory setbacks in early 2026. Community Impact (1/2): uniQure's work on Huntington's disease addresses a devastating rare condition affecting ~30,000 Americans with no approved disease-modifying therapy, representing genuine patient community impact through Huntington's disease advocacy engagement [2]. No specific charitable foundation or dollar-denominated community investment programs identified. Employee Retention (0/2): No publicly available data on employee turnover, average tenure, or specific cultural metrics. The company has grown to approximately 300 employees. Insider Buying (0/2): Net insider selling in 2026 — no evidence of meaningful net insider buying by executives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uniQure remains a pre-profitability biotech with Q1 2026 revenue of $3.6M (up 127% from $1.6M Q1 2025) against a $53.5M net loss [3]. Cash position strengthened to approximately $810M after a $259M public offering in Q2 2026, extending runway into 2030 and materially improving the balance sheet [3][4]. D/E was 269.8% as of Q1 2026 but the $259M equity raise should have significantly reduced leverage — estimated post-offering D/E of ~45-80%, improving the D/E metric score from 0.13 to ~0.55-1.0. ROE of -207.1% reflects the deeply unprofitable pre-commercial stage, scoring 0 [3]. Revenue growth of 127% YoY scores 1.0 but is from a minimal $1.6M base driven by CSL Behring royalties. Profit margin is deeply negative at -1236%, scoring 0. Forward P/E, PEG, and 5-year revenue CAGR are excluded as unavailable for a pre-commercial company. Liquidity floor easily cleared at $51.05 x ~1.5M avg daily volume = ~$76.6M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uniQure demonstrates genuine purpose through its commitment to curative gene therapies for devastating genetic diseases — a Just Cause that has sustained the company through years of clinical development, regulatory setbacks with the FDA, and the costly strategic decision to redirect from hemophilia to Huntington's disease. The persistence through the FDA's initial rejection of single-arm data in early 2026, followed by successful negotiation of an accelerated approval pathway by June 2026, validates the long-term scientific conviction [2]. However, the small organizational size and single-product commercial stage limit the depth of infinite game evidence.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vision of curing genetic diseases through one-time gene therapies is a genuine Just Cause — it describes a future where patients with Huntington's, hemophilia B, and Fabry disease are cured rather than managed chronically [1]. HEMGENIX's real-world outcomes (75+ patients, 90% bleeding reduction over 5 years) validate that this is more than marketing. The company persisted through FDA pushback in early 2026 when the agency initially rejected single-arm data, then successfully negotiated an accelerated approval pathway — demonstrating commitment to the cause beyond short-term stock price considerations [2]. However, the cause has not been validated through decades of commercial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Matt Kapusta has provided stable leadership since ~2016 after a previous CEO departed after just 9 months, restoring continuity [1]. The growing team (~300 employees) includes specialized gene therapy scientists and manufacturing experts with deep domain expertise. Kapusta's public emphasis on culture as a 'sustainable competitive advantage' and commitment to 'measuring our culture, soliciting feedback, acting, and then measuring again' suggests organizational awareness of trust dynamics [2]. However, limited public evidence to assess organizational trust at a granular level.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uniQure operates in a competitive gene therapy landscape alongside BioMarin, Spark Therapeutics/Roche, and emerging competitors. Management acknowledges competitive dynamics and uses them to sharpen clinical and manufacturing strategies rather than engaging in destructive competitive rhetoric. The company's differentiated AAV5 platform approach and miQURE silencing technology reflect competitive awareness oriented toward self-improvement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uniQure expanded its gene therapy platform from hemophilia B to Huntington's disease (CNS) and Fabry disease, selling hemophilia rights to CSL Behring to fund the neurological pipeline [1][3]. This pivot from liver-directed to CNS-directed gene therapy represents meaningful scientific and operational adaptation, requiring entirely different delivery methods (intrathecal injection vs. IV infusion). However, these are extensions of the same AAV platform rather than transformative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uniQure demonstrated courage by persisting through FDA regulatory headwinds in early 2026 when the agency initially indicated that single-arm Phase I/II data was insufficient for a marketing application, successfully restoring alignment by June 2026 [2]. The company has invested over a decade and hundreds of millions of dollars in gene therapy development before generating meaningful revenue, maintaining scientific conviction through investor skepticism. The $259M equity raise in Q2 2026 to fund the AMT-130 commercial launch represents a long-term commitment despite near-term dilution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uniQure at ~$3.3B market cap sits at a pivotal inflection point with the BLA submission for AMT-130 planned Q3 2026 — the FDA agreed in June 2026 that three-year Phase I/II data would support accelerated approval for Huntington's disease, where AMT-130 demonstrated a statistically significant 75% slowing of disease progression versus external controls [2]. If approved, AMT-130 would be the first-ever gene therapy for Huntington's disease, addressing a devastating neurodegenerative condition with zero approved disease-modifying treatments and an estimated $3-5B+ global addressable market. Cash position of approximately $810M (post-$259M Q2 2026 offering) extends runway into 2030, de-risking the regulatory and commercialization timeline [3][4]. HEMGENIX continues real-world validation with 75+ hemophilia B patients treated, and the pipeline (AMT-191 for Fabry showing ERT discontinuation, AMT-260 for epilepsy with early biological signals) provides optionality beyond the lead program [1][3]. Analyst consensus is Strong Buy with a $69.51 average price target, 36% above current levels [5].</w:t>
      </w:r>
    </w:p>
    <w:p>
      <w:pPr>
        <w:spacing w:after="120"/>
      </w:pPr>
      <w:r>
        <w:rPr>
          <w:rFonts w:ascii="Calibri" w:hAnsi="Calibri"/>
          <w:b w:val="0"/>
          <w:color w:val="3A4A28"/>
          <w:sz w:val="20"/>
        </w:rPr>
        <w:t>The bear case remains formidable despite the regulatory milestone. HEMGENIX revenue of just $3.6M in Q1 2026 (up from $1.6M) demonstrates that even an approved gene therapy faces slow commercial adoption due to pricing ($3.5M per treatment), payer resistance, and small addressable patient populations [3]. The FDA agreed on accelerated approval but requires a confirmatory study with concurrent control (not sham surgery), adding years and significant cost to the full approval pathway [2]. AMT-130 requires intracranial surgical delivery, limiting the treatable patient population and creating manufacturing and administration scalability challenges. AMT-191 Fabry disease program paused dosing at higher doses due to liver enzyme elevations and dose-limiting toxicities, raising questions about the safety profile of uniQure's AAV5 vector platform [3]. At $51/share, the stock has appreciated 21% since the June 2026 FDA agreement, pricing in substantial de-risking — any regulatory setback would severely compress the stock given no near-term path to profitability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AMT-130 BLA submission to FDA in Q3 2026 for accelerated approval in Huntington's disease, with Breakthrough Therapy and RMAT designations potentially accelerating review timeline to a 2027 approval [2]</w:t>
      </w:r>
    </w:p>
    <w:p>
      <w:pPr>
        <w:spacing w:before="40" w:after="40"/>
        <w:ind w:left="283"/>
      </w:pPr>
      <w:r>
        <w:rPr>
          <w:rFonts w:ascii="Calibri" w:hAnsi="Calibri"/>
          <w:b/>
          <w:color w:val="4A6B25"/>
          <w:sz w:val="20"/>
        </w:rPr>
        <w:t xml:space="preserve">2. </w:t>
      </w:r>
      <w:r>
        <w:rPr>
          <w:rFonts w:ascii="Calibri" w:hAnsi="Calibri"/>
          <w:b w:val="0"/>
          <w:color w:val="3A4A28"/>
          <w:sz w:val="20"/>
        </w:rPr>
        <w:t>AMT-191 Fabry disease data showing sustained enzyme activity enabling all patients to discontinue enzyme replacement therapy, expanding the pipeline into a second rare disease with significant commercial opportunity [3]</w:t>
      </w:r>
    </w:p>
    <w:p>
      <w:pPr>
        <w:spacing w:before="40" w:after="40"/>
        <w:ind w:left="283"/>
      </w:pPr>
      <w:r>
        <w:rPr>
          <w:rFonts w:ascii="Calibri" w:hAnsi="Calibri"/>
          <w:b/>
          <w:color w:val="4A6B25"/>
          <w:sz w:val="20"/>
        </w:rPr>
        <w:t xml:space="preserve">3. </w:t>
      </w:r>
      <w:r>
        <w:rPr>
          <w:rFonts w:ascii="Calibri" w:hAnsi="Calibri"/>
          <w:b w:val="0"/>
          <w:color w:val="3A4A28"/>
          <w:sz w:val="20"/>
        </w:rPr>
        <w:t>Cash position of ~$810M following the $259M Q2 2026 offering provides financial runway through 2030, covering both AMT-130 commercial launch and continued pipeline investment without near-term dilution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AMT-130 regulatory risk — while FDA agreed to accelerated approval pathway, a confirmatory study with concurrent standard-of-care control is still required, adding years and significant cost; any BLA rejection or advisory committee concerns could push approval to 2029+ [2]</w:t>
      </w:r>
    </w:p>
    <w:p>
      <w:pPr>
        <w:spacing w:before="40" w:after="40"/>
        <w:ind w:left="283"/>
      </w:pPr>
      <w:r>
        <w:rPr>
          <w:rFonts w:ascii="Calibri" w:hAnsi="Calibri"/>
          <w:b/>
          <w:color w:val="4A6B25"/>
          <w:sz w:val="20"/>
        </w:rPr>
        <w:t xml:space="preserve">2. </w:t>
      </w:r>
      <w:r>
        <w:rPr>
          <w:rFonts w:ascii="Calibri" w:hAnsi="Calibri"/>
          <w:b w:val="0"/>
          <w:color w:val="3A4A28"/>
          <w:sz w:val="20"/>
        </w:rPr>
        <w:t>Gene therapy commercialization challenge — HEMGENIX generates only $3.6M/quarter despite FDA approval, highlighting severe pricing ($3.5M per treatment), payer resistance, and physician adoption headwinds for one-time gene therapies [3]</w:t>
      </w:r>
    </w:p>
    <w:p>
      <w:pPr>
        <w:spacing w:before="40" w:after="40"/>
        <w:ind w:left="283"/>
      </w:pPr>
      <w:r>
        <w:rPr>
          <w:rFonts w:ascii="Calibri" w:hAnsi="Calibri"/>
          <w:b/>
          <w:color w:val="4A6B25"/>
          <w:sz w:val="20"/>
        </w:rPr>
        <w:t xml:space="preserve">3. </w:t>
      </w:r>
      <w:r>
        <w:rPr>
          <w:rFonts w:ascii="Calibri" w:hAnsi="Calibri"/>
          <w:b w:val="0"/>
          <w:color w:val="3A4A28"/>
          <w:sz w:val="20"/>
        </w:rPr>
        <w:t>AMT-191 safety signal — dosing paused at higher doses due to liver enzyme elevations and dose-limiting toxicities, introducing pipeline risk and raising questions about the AAV5 vector platform safety at higher doses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Gene therapy development and manufacturing involves highly regulated biological processes — manufacturing AAV vectors requires specialized GMP facilities, in vivo gene delivery requires neurosurgical procedures (intrathecal injection for AMT-130), and FDA regulatory pathways involve years of clinical data that AI cannot shortcut [1][2]. The physical, biological, and regulatory moats create strong structural protection against AI substitution. However, AI is accelerating drug discovery broadly, potentially enabling competitors to develop rival gene therapies faster and compressing uniQure's first-mover advantage in Huntington's disease. AI Opportunity (0/1): uniQure does not generate quantifiable revenue from AI-related products or services. While AI tools may be used in research workflows and clinical data analysis, no specific AI-driven revenue contribution or quantified operational savings have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16</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Fair Competition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uniQure HEMGENIX Commercial Data — 75+ patients treated, 5-year HOPE-B durability data, NEJM Publication, 2025-2026</w:t>
      </w:r>
    </w:p>
    <w:p>
      <w:pPr>
        <w:spacing w:before="20" w:after="20"/>
        <w:ind w:left="170"/>
      </w:pPr>
      <w:r>
        <w:rPr>
          <w:rFonts w:ascii="Calibri" w:hAnsi="Calibri"/>
          <w:b/>
          <w:color w:val="4A6B25"/>
          <w:sz w:val="15"/>
        </w:rPr>
        <w:t xml:space="preserve">2. </w:t>
      </w:r>
      <w:r>
        <w:rPr>
          <w:rFonts w:ascii="Calibri" w:hAnsi="Calibri"/>
          <w:b w:val="0"/>
          <w:color w:val="3A4A28"/>
          <w:sz w:val="17"/>
        </w:rPr>
        <w:t>FDA Type B Meeting Agreement — AMT-130 accelerated approval pathway confirmed, BLA submission Q3 2026, 75% disease slowing at 36 months — uniQure press releases, MedCity News, BioPharma Dive, June 2026</w:t>
      </w:r>
    </w:p>
    <w:p>
      <w:pPr>
        <w:spacing w:before="20" w:after="20"/>
        <w:ind w:left="170"/>
      </w:pPr>
      <w:r>
        <w:rPr>
          <w:rFonts w:ascii="Calibri" w:hAnsi="Calibri"/>
          <w:b/>
          <w:color w:val="4A6B25"/>
          <w:sz w:val="15"/>
        </w:rPr>
        <w:t xml:space="preserve">3. </w:t>
      </w:r>
      <w:r>
        <w:rPr>
          <w:rFonts w:ascii="Calibri" w:hAnsi="Calibri"/>
          <w:b w:val="0"/>
          <w:color w:val="3A4A28"/>
          <w:sz w:val="17"/>
        </w:rPr>
        <w:t>uniQure Q1 2026 Earnings Release — $3.6M revenue, $53.5M net loss, cash $586.6M; Q2 2026 update with AMT-191 and AMT-260 pipeline progress — GlobeNewswire, May-July 2026</w:t>
      </w:r>
    </w:p>
    <w:p>
      <w:pPr>
        <w:spacing w:before="20" w:after="20"/>
        <w:ind w:left="170"/>
      </w:pPr>
      <w:r>
        <w:rPr>
          <w:rFonts w:ascii="Calibri" w:hAnsi="Calibri"/>
          <w:b/>
          <w:color w:val="4A6B25"/>
          <w:sz w:val="15"/>
        </w:rPr>
        <w:t xml:space="preserve">4. </w:t>
      </w:r>
      <w:r>
        <w:rPr>
          <w:rFonts w:ascii="Calibri" w:hAnsi="Calibri"/>
          <w:b w:val="0"/>
          <w:color w:val="3A4A28"/>
          <w:sz w:val="17"/>
        </w:rPr>
        <w:t>uniQure Q2 2026 Follow-On Offering — $259M raised, cash runway extended to 2030, funding AMT-130 commercial launch — GlobeNewswire, July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QURE Key Statistics: Stock Price $51.05, Market Cap $3.3B, Analyst Consensus Strong Buy, Price Target $69.51,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