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RANI</w:t>
      </w:r>
      <w:r>
        <w:rPr>
          <w:rFonts w:ascii="Calibri" w:hAnsi="Calibri"/>
          <w:b/>
          <w:color w:val="1A2010"/>
          <w:sz w:val="40"/>
        </w:rPr>
        <w:t xml:space="preserve">  Rani Therapeutics Holdings, Inc.</w:t>
      </w:r>
    </w:p>
    <w:p>
      <w:pPr>
        <w:spacing w:after="120"/>
      </w:pPr>
      <w:r>
        <w:rPr>
          <w:rFonts w:ascii="Calibri" w:hAnsi="Calibri"/>
          <w:b/>
          <w:color w:val="6E8450"/>
          <w:sz w:val="18"/>
        </w:rPr>
        <w:t>GROWTH SLEEVE · 2026-09-29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Rani Therapeutics is a clinical-stage biotherapeutics company developing the RaniPill, a robotic oral-delivery capsule designed to deliver biologics (peptides, proteins, antibodies, oligonucleotides) that today require injection. Under CEO Talat Imran (appointed June 2021, with Rani since 2014), the company is advancing its lead program RT-114, an oral GLP-1/GLP-2 dual agonist partnered with ProGen targeting the obesity market. Q1 2026 contract revenue was $1.7M (up from $0.2M YoY) primarily from the Chugai collaboration, with losses narrowing to $8.0M from $12.7M [1]. Cash of $43.4M as of March 2026 provides near-term runway.</w:t>
      </w:r>
    </w:p>
    <w:p>
      <w:r>
        <w:rPr>
          <w:rFonts w:ascii="Calibri" w:hAnsi="Calibri"/>
          <w:b/>
          <w:color w:val="6E8450"/>
          <w:sz w:val="18"/>
        </w:rPr>
        <w:t>71 Employees · https://www.ranitherapeutics.com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Rani has completed three Phase 1 clinical trials and preclinical evaluation of 19 diverse molecules on its RaniPill platform, and in 2026 initiated a new Phase 1 study of RT-114 (an oral GLP-1/GLP-2 dual agonist) through a partnership with ProGen — a genuine new pipeline direction into the large obesity market [1][4]. The platform's ability to deliver biologics orally is a fundamentally novel approach, though no product has reached commercial approval. AI Deployment (0/2): No evidence of AI-driven drug discovery, formulation optimization, or manufacturing tools was found. Market Share (0/2): Pre-commercial with no revenue-generating market position; oral-biologics delivery remains a nascent, unproven category. Product Pipeline (1/2): The RT-114/ProGen Phase 1 study is specific and named, and the Chugai collaboration generated $1.7M in Q1 2026 contract revenue, but commercialization timelines remain undisclosed [1]. R&amp;D Intensity (1/1): Clinical-stage biotech with TTM revenue of ~$3.2M against net losses of ~$16M annualized (improving) — essentially all spend is R&amp;D-related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Rani's purpose — eliminating the need for injections by enabling biologic drugs to be taken as a pill — is specific, patient-centric, and clearly differentiated from generic biotech mission statements, directly addressing needle aversion and medication access barriers for patients worldwide [4]. CEO Imran states the company has potential to 'reinvent, disrupt and expand the biologics industry.' Community Impact (0/2): No evidence of charitable giving or community investment programs was found. Employee Retention (0/2): Glassdoor reviews (3.8/5 overall, 28 reviews) cite 'nepotism,' 'disorganization,' 'continuously changing project directions,' and 'multiple waves of layoffs with no notice,' pointing to organizational instability rather than mission-driven retention [3]. Insider Buying (0/2): No evidence of meaningful net insider buying by CEO Talat Imran or other executives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of approximately $598,400 (767,181 shares x $0.78) falls below the $1,000,000 minimum liquidity threshold, so Infrastructure is scored 0 regardless of other metrics per the hard rule [5]. For reference, the underlying metrics are severely distressed: ROE of -172.1%, profit margin effectively 0% (GAAP), and forward P/E of -4.1x (reflecting expected continued losses). The company reported narrowing net losses — Q1 2026 loss of $8.0M vs $12.7M YoY, Q2 2026 loss of $8.4M vs $11.2M YoY — but remains far from profitability [1][2]. D/E of 7.4% is low, reflecting minimal debt, but is irrelevant given the zero-revenue, cash-burning business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Rani Therapeutics has pursued a single, genuinely patient-centered cause — replacing injectable biologics with an oral pill — consistently since its founding, which counts for something in Sinek's framework. However, persistent losses ($8M+ per quarter), Glassdoor reviews citing nepotism, disorganization, and layoffs, a 2026 CFO transition, and a $0.78 stock price suggest an organization fighting for survival rather than one demonstrating the stability and trust of a mature infinite player [1][3].</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Eliminating the need for injections in biologic medicine is a genuinely service-oriented, patient-focused cause that Rani has pursued consistently for over a decade of clinical development. CEO Imran states the company can 'reinvent, disrupt and expand the biologics industry' [4]. However, the cause remains commercially unproven with no approved product generating meaningful revenue, and a decade without a commercial product raises questions about whether the mission can sustain the organization through the cash-burning clinical stage.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specifically cite nepotism, disorganization, continuously changing project directions, and 'multiple waves of layoffs with no notice' — clear low-trust signals [3]. At only 71 employees, organizational dysfunction has outsized impact. Some positive reviews note flexible work environment and supportive colleagues, but the structural trust issues dominate the signal.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Rani acknowledging competitors in the oral-biologics delivery space (e.g., Progenity, Epitomee) as a spur for self-improvement. The company frames itself as pioneering a novel category rather than learning from rivals in adjacent spaces.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Rani's 2026 pivot toward the obesity/GLP-1 market with the RT-114/ProGen partnership shows willingness to redirect its core RaniPill platform toward a larger commercial opportunity, following market demand rather than rigidly pursuing original indications [1]. However, the underlying delivery-platform business model itself has not fundamentally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Continuing to fund a decade-plus clinical program through repeated losses, with $43.4M cash as of Q1 2026, rather than abandoning the platform shows conviction. The partnership model (ProGen, Chugai) brings in non-dilutive revenue, demonstrating resourcefulness. However, the 2026 CFO transition and a stock price of $0.78 suggest the company is more in survival mode than making bold, courageous strategic bets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Rani Therapeutics remains a clinical-stage story with a genuinely novel technology: the RaniPill robotic capsule addresses a real unmet need for patients who require biologic drugs but face needle aversion and access barriers. TTM revenue grew to ~$3.2M (from a tiny base), primarily from the Chugai collaboration, and losses are narrowing — Q1 2026 net loss of $8.0M vs $12.7M YoY, Q2 2026 net loss of $8.4M vs $11.2M YoY [1][2]. The RT-114 GLP-1/GLP-2 dual agonist partnership with ProGen targets the massive obesity market and could represent a transformative commercial opportunity if Phase 1 data is competitive.</w:t>
      </w:r>
    </w:p>
    <w:p>
      <w:pPr>
        <w:spacing w:after="120"/>
      </w:pPr>
      <w:r>
        <w:rPr>
          <w:rFonts w:ascii="Calibri" w:hAnsi="Calibri"/>
          <w:b w:val="0"/>
          <w:color w:val="3A4A28"/>
          <w:sz w:val="20"/>
        </w:rPr>
        <w:t>However, the stock fails IOWN's liquidity floor: average daily dollar volume of roughly $598,400 (767,181 shares x $0.78) falls below the $1M minimum, forcing Infrastructure to a hard 0 [5]. Layered on top are ROE of -172%, a market cap under $90M, a 2026 CFO transition, and Glassdoor reviews citing nepotism, disorganization, and multiple layoffs — all signs of an organization in survival mode. AI risk is minimal given the physical/regulatory nature of the device, and the Inspire Impact Score of 33 (ALIGNED) is a positive, but the combination of illiquidity, sub-$1 share price, and persistent cash burn makes this purely speculative with binary Phase 1 readout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1 data readout for RT-114 (oral GLP-1/GLP-2 dual agonist) could validate RaniPill's applicability to the massive obesity drug market if bioavailability results are competitive with injectable GLP-1 therapies</w:t>
      </w:r>
    </w:p>
    <w:p>
      <w:pPr>
        <w:spacing w:before="40" w:after="40"/>
        <w:ind w:left="283"/>
      </w:pPr>
      <w:r>
        <w:rPr>
          <w:rFonts w:ascii="Calibri" w:hAnsi="Calibri"/>
          <w:b/>
          <w:color w:val="4A6B25"/>
          <w:sz w:val="20"/>
        </w:rPr>
        <w:t xml:space="preserve">2. </w:t>
      </w:r>
      <w:r>
        <w:rPr>
          <w:rFonts w:ascii="Calibri" w:hAnsi="Calibri"/>
          <w:b w:val="0"/>
          <w:color w:val="3A4A28"/>
          <w:sz w:val="20"/>
        </w:rPr>
        <w:t>Additional licensing/partnership deals following the ProGen and Chugai collaboration model could bring in non-dilutive capital and validate the platform across therapeutic areas</w:t>
      </w:r>
    </w:p>
    <w:p>
      <w:pPr>
        <w:spacing w:before="40" w:after="40"/>
        <w:ind w:left="283"/>
      </w:pPr>
      <w:r>
        <w:rPr>
          <w:rFonts w:ascii="Calibri" w:hAnsi="Calibri"/>
          <w:b/>
          <w:color w:val="4A6B25"/>
          <w:sz w:val="20"/>
        </w:rPr>
        <w:t xml:space="preserve">3. </w:t>
      </w:r>
      <w:r>
        <w:rPr>
          <w:rFonts w:ascii="Calibri" w:hAnsi="Calibri"/>
          <w:b w:val="0"/>
          <w:color w:val="3A4A28"/>
          <w:sz w:val="20"/>
        </w:rPr>
        <w:t>Continued loss narrowing (Q1 2026 loss of $8.0M vs $12.7M YoY) extends the $43.4M cash runway, potentially allowing the company to reach key data milestones without immediate dilutive financing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Average daily dollar volume of approximately $598,400 is below the $1M liquidity threshold, making the stock difficult to trade at scale and triggering an automatic Infrastructure score of 0 [5]</w:t>
      </w:r>
    </w:p>
    <w:p>
      <w:pPr>
        <w:spacing w:before="40" w:after="40"/>
        <w:ind w:left="283"/>
      </w:pPr>
      <w:r>
        <w:rPr>
          <w:rFonts w:ascii="Calibri" w:hAnsi="Calibri"/>
          <w:b/>
          <w:color w:val="4A6B25"/>
          <w:sz w:val="20"/>
        </w:rPr>
        <w:t xml:space="preserve">2. </w:t>
      </w:r>
      <w:r>
        <w:rPr>
          <w:rFonts w:ascii="Calibri" w:hAnsi="Calibri"/>
          <w:b w:val="0"/>
          <w:color w:val="3A4A28"/>
          <w:sz w:val="20"/>
        </w:rPr>
        <w:t>Net losses of roughly $16M annualized against TTM revenue of only $3.2M show the company remains years from profitability, with $43.4M cash providing limited runway if losses don't continue narrowing</w:t>
      </w:r>
    </w:p>
    <w:p>
      <w:pPr>
        <w:spacing w:before="40" w:after="40"/>
        <w:ind w:left="283"/>
      </w:pPr>
      <w:r>
        <w:rPr>
          <w:rFonts w:ascii="Calibri" w:hAnsi="Calibri"/>
          <w:b/>
          <w:color w:val="4A6B25"/>
          <w:sz w:val="20"/>
        </w:rPr>
        <w:t xml:space="preserve">3. </w:t>
      </w:r>
      <w:r>
        <w:rPr>
          <w:rFonts w:ascii="Calibri" w:hAnsi="Calibri"/>
          <w:b w:val="0"/>
          <w:color w:val="3A4A28"/>
          <w:sz w:val="20"/>
        </w:rPr>
        <w:t>Glassdoor reviews citing nepotism, disorganization, and multiple waves of layoffs at a 71-person company point to organizational instability that could impair execution on critical Phase 1 timelines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Rani's business is a physical, robotic drug-delivery device and its associated FDA regulatory pathway — a hardware-and-regulation-dependent business model that AI cannot substitute or replicate [4]. The RaniPill capsule requires mechanical engineering, biocompatible materials, and extensive clinical validation that exists entirely outside the domain of AI-driven disruption. No analyst or industry commentary suggests AI poses substitution risk to oral-biologics delivery devices. If anything, AI-assisted molecule design by partners like ProGen could expand the addressable pipeline of biologics suitable for RaniPill delivery, making AI a net positive for the platform. AI Opportunity (0/1): No quantified AI-related revenue, cost savings, or AI-enabled R&amp;D acceleration was disclosed despite potential applicability to formulation optimization and clinical trial design.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Rani Therapeutics Q1 2026 Financial Results and Corporate Update — ir.ranitherapeutics.com, May 2026</w:t>
      </w:r>
    </w:p>
    <w:p>
      <w:pPr>
        <w:spacing w:before="20" w:after="20"/>
        <w:ind w:left="170"/>
      </w:pPr>
      <w:r>
        <w:rPr>
          <w:rFonts w:ascii="Calibri" w:hAnsi="Calibri"/>
          <w:b/>
          <w:color w:val="4A6B25"/>
          <w:sz w:val="15"/>
        </w:rPr>
        <w:t xml:space="preserve">2. </w:t>
      </w:r>
      <w:r>
        <w:rPr>
          <w:rFonts w:ascii="Calibri" w:hAnsi="Calibri"/>
          <w:b w:val="0"/>
          <w:color w:val="3A4A28"/>
          <w:sz w:val="17"/>
        </w:rPr>
        <w:t>Rani Therapeutics Q2 2026 Financial Results (8-K filing) — SEC.gov, August 2026</w:t>
      </w:r>
    </w:p>
    <w:p>
      <w:pPr>
        <w:spacing w:before="20" w:after="20"/>
        <w:ind w:left="170"/>
      </w:pPr>
      <w:r>
        <w:rPr>
          <w:rFonts w:ascii="Calibri" w:hAnsi="Calibri"/>
          <w:b/>
          <w:color w:val="4A6B25"/>
          <w:sz w:val="15"/>
        </w:rPr>
        <w:t xml:space="preserve">3. </w:t>
      </w:r>
      <w:r>
        <w:rPr>
          <w:rFonts w:ascii="Calibri" w:hAnsi="Calibri"/>
          <w:b w:val="0"/>
          <w:color w:val="3A4A28"/>
          <w:sz w:val="17"/>
        </w:rPr>
        <w:t>Rani Therapeutics Employee Reviews — 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Rani Therapeutics RaniPill Technology Platform and CEO Commentary — ranitherapeutics.com,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RANI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