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RARE</w:t>
      </w:r>
      <w:r>
        <w:rPr>
          <w:rFonts w:ascii="Calibri" w:hAnsi="Calibri"/>
          <w:b/>
          <w:color w:val="1A2010"/>
          <w:sz w:val="40"/>
        </w:rPr>
        <w:t xml:space="preserve">  Ultragenyx Pharmaceutical Inc.</w:t>
      </w:r>
    </w:p>
    <w:p>
      <w:pPr>
        <w:spacing w:after="120"/>
      </w:pPr>
      <w:r>
        <w:rPr>
          <w:rFonts w:ascii="Calibri" w:hAnsi="Calibri"/>
          <w:b/>
          <w:color w:val="6E8450"/>
          <w:sz w:val="18"/>
        </w:rPr>
        <w:t>GROWTH SLEEVE · 2026-09-06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NasdaqGS · United States</w:t>
      </w:r>
    </w:p>
    <w:p>
      <w:pPr>
        <w:spacing w:after="80"/>
      </w:pPr>
      <w:r>
        <w:rPr>
          <w:rFonts w:ascii="Calibri" w:hAnsi="Calibri"/>
          <w:b w:val="0"/>
          <w:color w:val="3A4A28"/>
          <w:sz w:val="20"/>
        </w:rPr>
        <w:t>Ultragenyx Pharmaceutical Inc. is a biopharmaceutical company founded in 2010 by CEO Emil D. Kakkis, M.D., Ph.D., focused on developing novel treatments for serious rare and ultra-rare genetic diseases. The company markets four approved therapies — Crysvita (burosumab) for X-linked hypophosphatemia ($481M FY2025 revenue), Dojolvi (triheptanoin, $96M), Evkeeza (evinacumab, up 84% in 2025), and Mepsevii. FY2025 total revenue was $673M (up 20% YoY) with a net loss of $575M. 2026 guidance calls for $730-760M in revenue (8-13% growth, excluding new launches) with two gene therapy PDUFA dates: DTX401 for GSDIa (August 23, 2026) and UX111 for Sanfilippo syndrome (September 19, 2026). Q2 2026 delivered record quarterly revenue.</w:t>
      </w:r>
    </w:p>
    <w:p>
      <w:r>
        <w:rPr>
          <w:rFonts w:ascii="Calibri" w:hAnsi="Calibri"/>
          <w:b/>
          <w:color w:val="6E8450"/>
          <w:sz w:val="18"/>
        </w:rPr>
        <w:t>1,371 Employees · https://www.ultragenyx.com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Ultragenyx has successfully developed and commercialized four therapies for ultra-rare diseases since its 2010 founding, establishing a validated platform for rare disease drug development [1]. FY2025 revenue reached $673M (up 20%), with Crysvita at $481M as the standard of care for XLH globally and Evkeeza growing 84%. Q2 2026 delivered record quarterly revenue [2]. However, the setrusumab Phase 3 failure for osteogenesis imperfecta (December 2025) represents a meaningful clinical setback, and the company has not yet achieved profitability despite 16 years of operation. AI Deployment (0/2): No specific AI deployment in drug discovery or clinical operations publicly disclosed, though the company posted a Senior Director of Development AI Program Management role suggesting emerging AI capabilities [3]. Market Share (1/2): Crysvita holds dominant market share in XLH treatment globally, and each approved product targets conditions with few or no alternatives. However, ultra-rare disease markets are inherently small [1]. Product Pipeline (2/2): Exceptionally strong catalysts — two PDUFA dates for DTX401 (GSDIa, August 23, 2026) and UX111 (Sanfilippo syndrome, September 19, 2026), both potential first-in-disease approved gene therapies with no existing treatments. Pivotal Phase 3 Aspire results for GTX-102 in Angelman syndrome also expected [1]. R&amp;D Intensity (1/1): Heavy R&amp;D investment characteristic of a pre-profitability rare disease biotech maintaining a broad portfolio across enzyme replacement, gene therapy, and antisense oligonucleotide modalities.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Founder-CEO Emil Kakkis created Ultragenyx in 2010 with the explicit mission of developing treatments for patients with rare and ultra-rare genetic diseases who have no therapeutic options — a purpose born from his 22-year career developing rare disease treatments, including the first treatment for MPS I (laronidase) [3]. The cause has been validated through 16 years of consistent execution delivering four approved therapies to patient populations that previously had none. Strategic decisions clearly trace to this purpose — investing in conditions affecting fewer than 1,000 patients, running patient bootcamps, and maintaining programs where commercial returns are uncertain. Sinek would cite this as a canonical just cause. Community Impact (2/2): Ultragenyx runs rare disease bootcamps teaching patient families how to navigate drug development — a unique industry initiative featured on CNBC Cures [4]. The 2025 Impact Report emphasizes commitment to rare disease patients, innovation, and global impact [5]. Patient access programs ensure therapies reach patients regardless of geography or insurance. The company's mission is inherently community-serving — every product treats a devastating genetic disease affecting small, underserved populations. Employee Retention (0/2): CEO Kakkis describes maintaining a flat culture where 'hierarchy shouldn't matter' [3], and a $81.53M ESOP share shelf registration (June 2026) demonstrates commitment to broad employee ownership. However, prior Glassdoor reviews describing a 'culture of domination and fear' with a 'huge attrition problem' remain a red flag that the ESOP alone does not resolve. Insider Buying (1/2): CEO Kakkis directly owns 2.81% of the company worth approximately $65M at current prices, representing heavy founder-level alignment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FY2025 revenue of $673M (up 20%) and 2026 guidance of $730-760M (8-13% growth, excluding new launches) demonstrate consistent top-line momentum, with Q2 2026 delivering record quarterly revenue [1][2]. D/E of 53.41% is well below the 70% target, reflecting manageable leverage for a biotech with convertible debt [7]. Revenue growth YoY of ~11% (2026 guidance midpoint vs FY2025) and 5-year CAGR of ~13% both approach or exceed the 10% targets [1]. The structural drag is profitability — net margin of -81.70% reflects FY2025 net loss of $575M ($5.83/share), and the forward PE turning negative (-8.81) suggests analysts have pushed out profitability expectations beyond the company's 2027 target [7]. ROE is deeply negative due to accumulated losses. The stock declined 24% from $33.82 to $25.81 since the prior screen, potentially reflecting gene therapy regulatory uncertainty or revised profitability timeline. Calculation: D/E 1.0(1x) + ROE 0(2x, negative) + RevGr 1.0(1x) + RevGr5yr 1.0(2x) + PM 0(1x) = 4.0/7 → 6. Liquidity: $58.6M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Ultragenyx under founder-CEO Emil Kakkis demonstrates strong infinite game characteristics rooted in a compelling just cause — treating patients with devastating rare diseases who have no other options — validated through 16 years of execution. The willingness to invest in diseases affecting fewer than 1,000 patients, run patient education bootcamps, and expand from enzyme replacement to gene therapy and antisense oligonucleotides all reflect purpose-driven strategic thinking. However, the company's infinite mindset is undermined by reported cultural problems — Glassdoor reviews describing fear-based leadership create tension between the inspiring mission and the internal reality. The stock's 24% decline and forward PE turning negative suggest the path to profitability may be longer than originally projected.</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Emil Kakkis founded Ultragenyx in 2010 with the explicit purpose of developing treatments for patients with rare and ultra-rare genetic diseases who have no therapeutic options. This cause is deeply personal — Kakkis spent over two decades developing rare disease treatments before founding the company, including the first treatment for MPS I [3]. The cause has been validated through 16 years of execution: four approved products, multiple gene therapy programs targeting diseases with zero approved treatments, and continued investment in ultra-rare conditions where commercial returns are uncertain. Patient bootcamps teaching rare disease families to navigate drug development extend the cause beyond commercial operations [4]. Sinek would cite this as a canonical just cause: inclusive, service-oriented, resilient, and idealistic.</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signals persist. CEO Kakkis describes a flat culture where 'hierarchy shouldn't matter' and 'ideas come from all departments' [3], and the $81.53M ESOP demonstrates commitment to broad employee ownership [6]. Leadership stability is strong with Kakkis leading since founding. However, prior Glassdoor reviews described a 'culture of domination and fear' with a 'huge attrition problem' — serious allegations for a mission-driven organization. The gap between Kakkis's public statements about collaborative culture and employees' reported experience creates genuine concern about whether the Circle of Safety extends throughout the 1,371-person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Ultragenyx operates alongside BioMarin, Alexion (AstraZeneca), Sarepta, and bluebird bio in rare diseases. No evidence of management acknowledging competitors' strengths or constructive use of rivalry for self-improvement was identified. The ultra-rare disease positioning implicitly sidesteps direct competition by targeting conditions with no existing treatments, which is differentiation rather than competitive engagement.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Ultragenyx has demonstrated meaningful strategic evolution in service of its rare disease mission, expanding from enzyme replacement therapy (Mepsevii, Crysvita) to gene therapy (DTX401 for GSDIa, UX111 for Sanfilippo) and antisense oligonucleotides (GTX-102 for Angelman syndrome) — fundamentally broadening its therapeutic modality toolkit [1]. The setrusumab Phase 3 failure was absorbed without abandoning the core purpose, pivoting to what analysts describe as a 'cleaner' portfolio. Each modality expansion was driven by the just cause — serving rare disease patients through whatever approach offers the best therapeutic outcome.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Ultragenyx consistently makes courageous bets that prioritize patient impact over commercial certainty. Developing gene therapies for diseases affecting fewer than 1,000 patients globally requires conviction most pharmaceutical companies lack [1]. The company has operated for 16 years without profitability, reinvesting revenue from approved products into increasingly ambitious gene therapy programs. Kakkis's patient bootcamps — teaching rare disease families to navigate drug development — demonstrate leadership beyond shareholder value [4]. The company absorbed the setrusumab failure, a securities lawsuit, and a 42% stock drop without abandoning its mission. The 2027 profitability target, after 16 years of losses, reflects disciplined ambition rather than short-term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Ultragenyx offers a rare combination of commercial-stage rare disease revenue ($673M in FY2025, up 20%) with near-term transformative gene therapy catalysts — two PDUFA dates for DTX401 (GSDIa, August 23, 2026) and UX111 (Sanfilippo syndrome, September 19, 2026), each potential first-in-disease approved gene therapies for devastating conditions with no existing treatments [1]. Q2 2026 delivered record quarterly revenue, demonstrating sustained commercial momentum from Crysvita ($481M FY2025), Evkeeza (84% growth), and Dojolvi ($96M) [2]. The 5-year revenue CAGR of ~13% validates the platform's ability to grow rare disease franchises. Founder-CEO Kakkis's 22-year track record in rare disease, 2.81% personal ownership, and unique patient bootcamp programs create a mission-driven culture that sustains long-term innovation [3][4]. The Inspire Impact Score of 58 (ALIGNED) with 13 positive attributions and zero negatives makes this a strong faith-aligned biotech candidate.</w:t>
      </w:r>
    </w:p>
    <w:p>
      <w:pPr>
        <w:spacing w:after="120"/>
      </w:pPr>
      <w:r>
        <w:rPr>
          <w:rFonts w:ascii="Calibri" w:hAnsi="Calibri"/>
          <w:b w:val="0"/>
          <w:color w:val="3A4A28"/>
          <w:sz w:val="20"/>
        </w:rPr>
        <w:t>The bear case is dominated by clinical/regulatory risk and persistent unprofitability. The stock has declined 24% to $25.81 since the prior screen, and the forward PE has turned negative (-8.81) from a previously positive 21.8x, suggesting analysts have pushed out profitability expectations beyond the company's 2027 target [7]. The FY2025 net loss of $575M ($5.83/share) on $673M revenue yields a -81.7% net margin, meaning the company burns nearly as much as it earns [1]. Both pending gene therapy BLAs carry binary FDA risk — any complete response letter would significantly damage the thesis, as the setrusumab Phase 3 failure (December 2025, 42% stock drop) demonstrated. Revenue concentration in Crysvita (~71% of FY2025 product revenue) creates single-product dependency, and XLH market penetration may be approaching saturation in major markets. Gene therapy pricing and reimbursement remain uncertain, and AAV manufacturing scale-up carries execution risk. The reported cultural tensions (Glassdoor reviews describing fear-based leadership) create organizational risk precisely when complex gene therapy launches require cohesive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DTX401 PDUFA date August 23, 2026 for glycogen storage disease type Ia — potential first approved gene therapy for GSDIa, addressing a devastating metabolic disease with no curative treatment and significant commercial opportunity [1]</w:t>
      </w:r>
    </w:p>
    <w:p>
      <w:pPr>
        <w:spacing w:before="40" w:after="40"/>
        <w:ind w:left="283"/>
      </w:pPr>
      <w:r>
        <w:rPr>
          <w:rFonts w:ascii="Calibri" w:hAnsi="Calibri"/>
          <w:b/>
          <w:color w:val="4A6B25"/>
          <w:sz w:val="20"/>
        </w:rPr>
        <w:t xml:space="preserve">2. </w:t>
      </w:r>
      <w:r>
        <w:rPr>
          <w:rFonts w:ascii="Calibri" w:hAnsi="Calibri"/>
          <w:b w:val="0"/>
          <w:color w:val="3A4A28"/>
          <w:sz w:val="20"/>
        </w:rPr>
        <w:t>UX111 PDUFA date September 19, 2026 for Sanfilippo syndrome type A — potential first approved treatment for this fatal pediatric neurodegenerative disease, representing transformative clinical value and commercial upside from gene therapy pricing [1]</w:t>
      </w:r>
    </w:p>
    <w:p>
      <w:pPr>
        <w:spacing w:before="40" w:after="40"/>
        <w:ind w:left="283"/>
      </w:pPr>
      <w:r>
        <w:rPr>
          <w:rFonts w:ascii="Calibri" w:hAnsi="Calibri"/>
          <w:b/>
          <w:color w:val="4A6B25"/>
          <w:sz w:val="20"/>
        </w:rPr>
        <w:t xml:space="preserve">3. </w:t>
      </w:r>
      <w:r>
        <w:rPr>
          <w:rFonts w:ascii="Calibri" w:hAnsi="Calibri"/>
          <w:b w:val="0"/>
          <w:color w:val="3A4A28"/>
          <w:sz w:val="20"/>
        </w:rPr>
        <w:t>Path to profitability as revenue scales from $673M (FY2025) toward $800M+ with gene therapy launches adding incremental high-margin revenue, potentially triggering fundamental re-rating if the 2027 profitability target is reaffirmed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Dual FDA review risk — complete response letters on either DTX401 (August 23 PDUFA) or UX111 (September 19 PDUFA) would significantly damage the thesis, as the setrusumab failure demonstrated with a 42% stock decline and securities class action [1]</w:t>
      </w:r>
    </w:p>
    <w:p>
      <w:pPr>
        <w:spacing w:before="40" w:after="40"/>
        <w:ind w:left="283"/>
      </w:pPr>
      <w:r>
        <w:rPr>
          <w:rFonts w:ascii="Calibri" w:hAnsi="Calibri"/>
          <w:b/>
          <w:color w:val="4A6B25"/>
          <w:sz w:val="20"/>
        </w:rPr>
        <w:t xml:space="preserve">2. </w:t>
      </w:r>
      <w:r>
        <w:rPr>
          <w:rFonts w:ascii="Calibri" w:hAnsi="Calibri"/>
          <w:b w:val="0"/>
          <w:color w:val="3A4A28"/>
          <w:sz w:val="20"/>
        </w:rPr>
        <w:t>Forward PE turning negative (-8.81) suggests analysts have pushed out profitability expectations — the 2027 profitability target is increasingly in question after $575M in FY2025 net losses, and delayed profitability would extend cash burn risk [7]</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in Crysvita (~71% of FY2025 product revenue at $481M) creates single-product dependency, with XLH market penetration potentially approaching saturation in major developed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Rare disease drug development is exceptionally well-protected from AI disruption. The core competencies — conducting clinical trials in ultra-small patient populations (sometimes fewer than 100 patients globally), navigating orphan drug regulatory pathways, manufacturing complex biologics and gene therapy vectors (AAV production, cell processing), and maintaining physician relationships for ultra-rare disease diagnosis — are irreducibly human and physical [1]. The ultra-rare disease focus creates additional protection: AI-driven drug discovery is least effective in diseases with minimal existing data and tiny patient populations, which is precisely Ultragenyx's domain. Orphan drug exclusivity provides regulatory barriers that AI-enabled competitors cannot easily overcome. The primary risk is that AI could enable competitors to more efficiently identify rare disease drug candidates, compressing Ultragenyx's first-mover advantage. AI Opportunity (1/1): AI has meaningful potential to benefit Ultragenyx — particularly in rare disease patient identification (accelerating diagnosis for diseases averaging 5-7 years to diagnose), gene therapy vector optimization, and clinical trial endpoint analysis in small populations. The company's posting for a Senior Director of Development AI Program Management suggests emerging investment in AI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Ultragenyx FY2025 Financial Results — $673M Revenue (20% Growth), Crysvita $481M, Evkeeza +84%, Net Loss $575M, 2026 Guidance $730-760M — ir.ultragenyx.com, StockTitan, February 2026</w:t>
      </w:r>
    </w:p>
    <w:p>
      <w:pPr>
        <w:spacing w:before="20" w:after="20"/>
        <w:ind w:left="170"/>
      </w:pPr>
      <w:r>
        <w:rPr>
          <w:rFonts w:ascii="Calibri" w:hAnsi="Calibri"/>
          <w:b/>
          <w:color w:val="4A6B25"/>
          <w:sz w:val="15"/>
        </w:rPr>
        <w:t xml:space="preserve">2. </w:t>
      </w:r>
      <w:r>
        <w:rPr>
          <w:rFonts w:ascii="Calibri" w:hAnsi="Calibri"/>
          <w:b w:val="0"/>
          <w:color w:val="3A4A28"/>
          <w:sz w:val="17"/>
        </w:rPr>
        <w:t>Ultragenyx Q2 2026 Earnings Highlights — Record Revenue —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Ultragenyx Leadership and Culture — Founder-CEO Emil Kakkis 22-Year Rare Disease Track Record, Flat Culture Philosophy, AI Program Management Role — Ultragenyx.com, LinkedIn, 2026</w:t>
      </w:r>
    </w:p>
    <w:p>
      <w:pPr>
        <w:spacing w:before="20" w:after="20"/>
        <w:ind w:left="170"/>
      </w:pPr>
      <w:r>
        <w:rPr>
          <w:rFonts w:ascii="Calibri" w:hAnsi="Calibri"/>
          <w:b/>
          <w:color w:val="4A6B25"/>
          <w:sz w:val="15"/>
        </w:rPr>
        <w:t xml:space="preserve">4. </w:t>
      </w:r>
      <w:r>
        <w:rPr>
          <w:rFonts w:ascii="Calibri" w:hAnsi="Calibri"/>
          <w:b w:val="0"/>
          <w:color w:val="3A4A28"/>
          <w:sz w:val="17"/>
        </w:rPr>
        <w:t>CNBC Cures — Emil Kakkis on Rare Disease Patient Bootcamp and Path to Profitability, May 2026</w:t>
      </w:r>
    </w:p>
    <w:p>
      <w:pPr>
        <w:spacing w:before="20" w:after="20"/>
        <w:ind w:left="170"/>
      </w:pPr>
      <w:r>
        <w:rPr>
          <w:rFonts w:ascii="Calibri" w:hAnsi="Calibri"/>
          <w:b/>
          <w:color w:val="4A6B25"/>
          <w:sz w:val="15"/>
        </w:rPr>
        <w:t xml:space="preserve">5. </w:t>
      </w:r>
      <w:r>
        <w:rPr>
          <w:rFonts w:ascii="Calibri" w:hAnsi="Calibri"/>
          <w:b w:val="0"/>
          <w:color w:val="3A4A28"/>
          <w:sz w:val="17"/>
        </w:rPr>
        <w:t>Ultragenyx 2025 Impact Report — ESG Framework, Patient Access Programs, Environmental Strategy — ir.ultragenyx.com, 2026</w:t>
      </w:r>
    </w:p>
    <w:p>
      <w:pPr>
        <w:spacing w:before="20" w:after="20"/>
        <w:ind w:left="170"/>
      </w:pPr>
      <w:r>
        <w:rPr>
          <w:rFonts w:ascii="Calibri" w:hAnsi="Calibri"/>
          <w:b/>
          <w:color w:val="4A6B25"/>
          <w:sz w:val="15"/>
        </w:rPr>
        <w:t xml:space="preserve">6. </w:t>
      </w:r>
      <w:r>
        <w:rPr>
          <w:rFonts w:ascii="Calibri" w:hAnsi="Calibri"/>
          <w:b w:val="0"/>
          <w:color w:val="3A4A28"/>
          <w:sz w:val="17"/>
        </w:rPr>
        <w:t>Simply Wall St — Ultragenyx Insider Ownership Analysis, CEO 2.81% Stake, ESOP Filing — June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Yahoo Finance — RARE Key Statistics: Stock Price $25.81, D/E 53.41%, Net Margin -81.7%, Forward PE -8.81, Avg Volume 2.27M,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