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RBA</w:t>
      </w:r>
      <w:r>
        <w:rPr>
          <w:rFonts w:ascii="Calibri" w:hAnsi="Calibri"/>
          <w:b/>
          <w:color w:val="1A2010"/>
          <w:sz w:val="40"/>
        </w:rPr>
        <w:t xml:space="preserve">  RB Global, Inc.</w:t>
      </w:r>
    </w:p>
    <w:p>
      <w:pPr>
        <w:spacing w:after="120"/>
      </w:pPr>
      <w:r>
        <w:rPr>
          <w:rFonts w:ascii="Calibri" w:hAnsi="Calibri"/>
          <w:b/>
          <w:color w:val="6E8450"/>
          <w:sz w:val="18"/>
        </w:rPr>
        <w:t>GROWTH SLEEVE · 2026-09-20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Business Services · NYSE · Canada</w:t>
      </w:r>
    </w:p>
    <w:p>
      <w:pPr>
        <w:spacing w:after="80"/>
      </w:pPr>
      <w:r>
        <w:rPr>
          <w:rFonts w:ascii="Calibri" w:hAnsi="Calibri"/>
          <w:b w:val="0"/>
          <w:color w:val="3A4A28"/>
          <w:sz w:val="20"/>
        </w:rPr>
        <w:t>RB Global, Inc. (formerly Ritchie Bros. Auctioneers) operates the world's largest commercial asset marketplace, facilitating the buying and selling of heavy equipment, trucks, and other industrial assets through live and online auctions. Following its transformative 2023 merger with IAA (Insurance Auto Auctions), the company expanded into the insurance salvage vehicle market. Also operates SmartEquip (parts procurement), Rouse Services (data analytics), and Big Iron (agriculture equipment, acquired May 2026). Headquartered in Burnaby, British Columbia. Q2 2026 revenue of $1.3B (up 11% YoY) with net income of $132M (up 33%).</w:t>
      </w:r>
    </w:p>
    <w:p>
      <w:r>
        <w:rPr>
          <w:rFonts w:ascii="Calibri" w:hAnsi="Calibri"/>
          <w:b/>
          <w:color w:val="6E8450"/>
          <w:sz w:val="18"/>
        </w:rPr>
        <w:t>8,000 Employees · https://www.rbglobal.com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$7.3B merger with IAA in March 2023 was a transformative business model expansion, combining Ritchie Bros.' industrial equipment marketplace with IAA's insurance salvage vehicle auctions to create the world's largest commercial asset marketplace [1]. The May 2026 acquisition of Big Iron Auction Company extended into U.S. agriculture markets, further broadening the platform [3]. Revenue grew from ~$2B pre-merger to $4.85B TTM. AI Deployment (1/2): RB Global deploys proprietary machine vision technology for automated asset condition assessments and pricing models, providing customers with accurate asset valuations — a shipped AI product with measurable customer value [2]. The company also runs an AI-driven cybersecurity SOC and uses AI-based tooling for cloud cost optimization [2]. These demonstrate real AI operational deployment though specific revenue or savings figures have not been quantified. Market Share (2/2): RB Global is the undisputed global leader in commercial asset disposition, with Q2 2026 gross transaction value driving total revenue to $1.3B (up 11% YoY) and TTM revenue of $4.85B [1]. No competitor operates at comparable scale across industrial equipment, commercial vehicles, and salvage vehicles simultaneously. Product Pipeline (1/2): FY2026 GTV growth guidance of 6-9% with adjusted EBIT of $1.49-1.55B provides clear near-term visibility, and Big Iron opens the agriculture equipment market [3]. R&amp;D Intensity (0/1): R&amp;D spending is not reported as a discrete line item; technology investment is embedded in operating expenses.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RB Global's stated purpose — 'connecting the world through trusted marketplaces, driving the transition to a circular economy, fostering an inclusive culture, and building resilient communities' — is specific and thoughtful, directly connecting the company's auction business to the broader environmental purpose of extending asset lifecycles and reducing waste [4]. The circular economy framing differentiates from peers and reflects genuine intentionality. Community Impact (1/2): RB Global's ESG framework outlines community building and resilient communities as a pillar, and the company has been certified as a Great Place To Work, but no specific charitable programs with dollar amounts or distinctive community initiatives were identified [4]. Employee Retention (1/2): Glassdoor reviews describe 'transparent and approachable leadership' where 'CEO types say hi in the hall,' and a 'hunger for new ideas,' but also note the company is 'still ironing out processes' from the IAA integration with 'lots of change' [2]. CEO Jim Kessler has 69% Glassdoor approval. Mixed but trending positive. Insider Buying (0/2): No evidence of meaningful net insider buying by CEO Jim Kessler or other executives in the last 12 months was found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Q2 2026 revenue of $1.3B (up 11% YoY) with net income of $132M (up 33%) extended the strong fundamental trajectory, and management reaffirmed adjusted EBIT guidance of $1.49-1.55B [1]. The stock's 17% decline from $99.90 to $83.20 has compressed Forward P/E to 17.1x from 23.0x on the prior screen, scoring a perfect 1.0 and significantly improving the valuation picture. Revenue growth YoY of 11.1% scores 1.0. D/E of 77.6% scores 0.97, reasonable given post-merger leverage. ROE of 8.1% scores 0.54 at 2x weight, still depressed by $5B+ goodwill from IAA. Profit margin of 10.0% scores 0.50, modest for a marketplace model. Revenue growth 5yr CAGR of ~27% scores 1.0 at 2x weight (M&amp;A-driven but represents successful scale transformation). Liquidity easily clears: ~1.69M avg vol x $83.20 = $140.5M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RB Global demonstrates elements of infinite thinking through its circular economy mission and willingness to make transformative strategic bets (IAA merger, Big Iron acquisition), but the company's purpose articulation is relatively recent (post-IAA rebranding) and has not been validated through multiple cycles or leadership transitions. The fast-paced organizational transformation under CEO Kessler creates both energy and instability, and it remains to be seen whether the Just Cause will endure beyond the current growth phase.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RB Global's circular economy mission — extending asset lifecycles through trusted marketplace transactions — is genuine and distinctive, connecting the company's commercial operations to an environmental purpose that resonates beyond profit [4]. However, this framing is relatively recent (post-IAA merger rebranding), and the company hasn't had multiple decades or leadership transitions to validate it. The Just Cause has not yet been tested through crisis or market adversity under the current RB Global identity.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RB Global was certified as a Great Place To Work, and Glassdoor reviews describe 'transparent and approachable leadership' where 'CEO types say hi in the hall' with 'a hunger for new ideas' [2]. However, the post-IAA integration creates significant organizational flux — employees note the company is 'still ironing out processes' with 'lots of change,' and leadership restructuring in September 2025 added further disruption. The cultural direction is positive but stability has not yet been established.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RB Global's leadership acknowledging competitors' strengths or framing competition as motivation for self-improvement. As the dominant player in commercial asset auctions, the company's public communications focus on market leadership and scale advantages rather than learning from rivals like Copart or regional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$7.3B IAA acquisition in 2023 fundamentally transformed RB Global from a pure industrial equipment auctioneer into a diversified commercial asset marketplace spanning equipment, vehicles, and insurance salvage [1]. The Big Iron acquisition in May 2026 further extended into agriculture. The addressable market expanded dramatically, though the core auction/marketplace business model remained intact — this is adjacent expansion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$7.3B IAA merger was a bold capital allocation decision executed despite significant shareholder opposition (activist investors contested the deal), nearly tripling the company's revenue base and requiring substantial integration risk [1]. CEO Kessler has restructured leadership and maintained 6-9% GTV growth guidance despite the stock's 17% decline from its highs. However, no examples of sacrificing short-term earnings for long-term capability or walking away from profitable but misaligned businesses were identified beyond the core M&amp;A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RB Global's 17% stock decline to $83.20 has compressed the Forward P/E from 23.0x to 17.1x against accelerating earnings growth (Q2 net income up 33% YoY to $132M), creating an increasingly attractive entry point for the world's largest commercial asset marketplace [1]. TTM revenue of $4.85B with consistent 11% YoY growth, combined with FY2026 adjusted EBIT guidance of $1.49-1.55B, demonstrates the IAA merger synergies are delivering [1][3]. The Big Iron acquisition (May 2026) opens the agriculture equipment market, and deployed machine vision AI for asset valuations provides competitive differentiation [2][3]. The circular economy business model — extending asset lifecycles through trusted marketplace transactions — has structural tailwinds as businesses increasingly prioritize used equipment over new purchases during uncertain economic conditions.</w:t>
      </w:r>
    </w:p>
    <w:p>
      <w:pPr>
        <w:spacing w:after="120"/>
      </w:pPr>
      <w:r>
        <w:rPr>
          <w:rFonts w:ascii="Calibri" w:hAnsi="Calibri"/>
          <w:b w:val="0"/>
          <w:color w:val="3A4A28"/>
          <w:sz w:val="20"/>
        </w:rPr>
        <w:t>The bear case centers on cyclical exposure and post-merger execution risk. The stock's decline from $99.90 to $83.20 (below the $94.76 SMA-50) reflects market concern about used equipment market softening and the macroeconomic cycle. ROE of 8.1% remains below the 15% target, depressed by $5B+ in goodwill from the IAA acquisition, and profit margin of 10.0% is modest for a marketplace business — suggesting full operating leverage from the merger has not yet materialized [5]. Trailing P/E of 35.9x vs forward of 17.1x implies the market expects significant earnings acceleration that could disappoint if construction or transportation activity weakens. The insurance salvage business (IAA) is inherently countercyclical (accidents create supply regardless of economic conditions), which provides balance but doesn't fully offset the procyclical heavy equipment business. The company's reliance on cyclical end-markets exposes it to simultaneous volume and margin compression in a downturn.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compression to 17.1x from 23.0x with Q2 2026 net income growing 33% YoY creates an increasingly attractive valuation for the dominant commercial asset marketplace [1][5]</w:t>
      </w:r>
    </w:p>
    <w:p>
      <w:pPr>
        <w:spacing w:before="40" w:after="40"/>
        <w:ind w:left="283"/>
      </w:pPr>
      <w:r>
        <w:rPr>
          <w:rFonts w:ascii="Calibri" w:hAnsi="Calibri"/>
          <w:b/>
          <w:color w:val="4A6B25"/>
          <w:sz w:val="20"/>
        </w:rPr>
        <w:t xml:space="preserve">2. </w:t>
      </w:r>
      <w:r>
        <w:rPr>
          <w:rFonts w:ascii="Calibri" w:hAnsi="Calibri"/>
          <w:b w:val="0"/>
          <w:color w:val="3A4A28"/>
          <w:sz w:val="20"/>
        </w:rPr>
        <w:t>Full realization of IAA merger synergies driving margin expansion, with inventory sales revenue accelerating 28% YoY in Q2 2026 and adjusted EBIT guided to $1.49-1.55B [1][3]</w:t>
      </w:r>
    </w:p>
    <w:p>
      <w:pPr>
        <w:spacing w:before="40" w:after="40"/>
        <w:ind w:left="283"/>
      </w:pPr>
      <w:r>
        <w:rPr>
          <w:rFonts w:ascii="Calibri" w:hAnsi="Calibri"/>
          <w:b/>
          <w:color w:val="4A6B25"/>
          <w:sz w:val="20"/>
        </w:rPr>
        <w:t xml:space="preserve">3. </w:t>
      </w:r>
      <w:r>
        <w:rPr>
          <w:rFonts w:ascii="Calibri" w:hAnsi="Calibri"/>
          <w:b w:val="0"/>
          <w:color w:val="3A4A28"/>
          <w:sz w:val="20"/>
        </w:rPr>
        <w:t>Big Iron Auction Company acquisition (May 2026) opening the U.S. agriculture equipment market and machine vision AI deployment providing competitive differentiation in asset valuations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Used equipment market cyclicality — a construction or transportation downturn could compress GTV and transaction-based revenues, and the stock's 17% decline signals market concern about near-term volume trends [5]</w:t>
      </w:r>
    </w:p>
    <w:p>
      <w:pPr>
        <w:spacing w:before="40" w:after="40"/>
        <w:ind w:left="283"/>
      </w:pPr>
      <w:r>
        <w:rPr>
          <w:rFonts w:ascii="Calibri" w:hAnsi="Calibri"/>
          <w:b/>
          <w:color w:val="4A6B25"/>
          <w:sz w:val="20"/>
        </w:rPr>
        <w:t xml:space="preserve">2. </w:t>
      </w:r>
      <w:r>
        <w:rPr>
          <w:rFonts w:ascii="Calibri" w:hAnsi="Calibri"/>
          <w:b w:val="0"/>
          <w:color w:val="3A4A28"/>
          <w:sz w:val="20"/>
        </w:rPr>
        <w:t>ROE of 8.1% reflects $5B+ in acquisition-related goodwill that may face impairment risk if the IAA integration underdelivers on expected synergies, and profit margin of 10.0% has not yet reached marketplace-model efficiency</w:t>
      </w:r>
    </w:p>
    <w:p>
      <w:pPr>
        <w:spacing w:before="40" w:after="40"/>
        <w:ind w:left="283"/>
      </w:pPr>
      <w:r>
        <w:rPr>
          <w:rFonts w:ascii="Calibri" w:hAnsi="Calibri"/>
          <w:b/>
          <w:color w:val="4A6B25"/>
          <w:sz w:val="20"/>
        </w:rPr>
        <w:t xml:space="preserve">3. </w:t>
      </w:r>
      <w:r>
        <w:rPr>
          <w:rFonts w:ascii="Calibri" w:hAnsi="Calibri"/>
          <w:b w:val="0"/>
          <w:color w:val="3A4A28"/>
          <w:sz w:val="20"/>
        </w:rPr>
        <w:t>Post-merger organizational transformation under CEO Kessler with ongoing leadership restructuring creates execution risk during a critical integration period where cultural stability is needed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RB Global's core business involves physical-world asset transactions — heavy equipment inspections, vehicle transport logistics, title transfers, and trust-based marketplace interactions that AI structurally cannot substitute [1]. The auction process requires physical presence of assets, complex condition assessments, regulatory compliance across jurisdictions, and buyer-seller trust built over decades. The insurance salvage business (IAA) involves physical vehicle towing, storage, and regulated title processing. These operations have deep physical and regulatory moats. However, AI could potentially enhance competitor marketplace platforms or create automated valuation alternatives, representing a modest risk to ancillary data services. AI Opportunity (1/1): RB Global's proprietary machine vision technology provides customers with automated asset condition assessments and pricing models — a deployed AI product generating measurable customer value in the marketplace [2]. The AI-driven cybersecurity SOC and AI-based cloud optimization tools demonstrate broader organizational AI adoption that drives operational efficiency.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RB Global Q1 and Q2 2026 Earnings — Equipment World: Q1 $1.2B revenue (up 11%), $135.6M net income (up 20%); Q2 $1.3B revenue (up 11%), $132M net income (up 33%), TTM $4.85B revenue</w:t>
      </w:r>
    </w:p>
    <w:p>
      <w:pPr>
        <w:spacing w:before="20" w:after="20"/>
        <w:ind w:left="170"/>
      </w:pPr>
      <w:r>
        <w:rPr>
          <w:rFonts w:ascii="Calibri" w:hAnsi="Calibri"/>
          <w:b/>
          <w:color w:val="4A6B25"/>
          <w:sz w:val="15"/>
        </w:rPr>
        <w:t xml:space="preserve">2. </w:t>
      </w:r>
      <w:r>
        <w:rPr>
          <w:rFonts w:ascii="Calibri" w:hAnsi="Calibri"/>
          <w:b w:val="0"/>
          <w:color w:val="3A4A28"/>
          <w:sz w:val="17"/>
        </w:rPr>
        <w:t>RB Global AI Innovation — Cyber Magazine: Machine Vision Asset Valuations, AI-Driven Cybersecurity SOC, Cloud Optimization; Glassdoor Reviews, CEO Kessler Approval 69%,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RB Global FY2026 Guidance — GTV Growth 6-9%, Adjusted EBIT $1.49-1.55B, Big Iron Acquisition May 2026</w:t>
      </w:r>
    </w:p>
    <w:p>
      <w:pPr>
        <w:spacing w:before="20" w:after="20"/>
        <w:ind w:left="170"/>
      </w:pPr>
      <w:r>
        <w:rPr>
          <w:rFonts w:ascii="Calibri" w:hAnsi="Calibri"/>
          <w:b/>
          <w:color w:val="4A6B25"/>
          <w:sz w:val="15"/>
        </w:rPr>
        <w:t xml:space="preserve">4. </w:t>
      </w:r>
      <w:r>
        <w:rPr>
          <w:rFonts w:ascii="Calibri" w:hAnsi="Calibri"/>
          <w:b w:val="0"/>
          <w:color w:val="3A4A28"/>
          <w:sz w:val="17"/>
        </w:rPr>
        <w:t>RB Global ESG Report and Corporate Website — Circular Economy Mission, Great Place To Work Certification, ESG Framework,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RBA Key Statistics: $83.20 price, Forward P/E 17.07, D/E 77.6%, ROE 8.1%,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