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RBKB</w:t>
      </w:r>
      <w:r>
        <w:rPr>
          <w:rFonts w:ascii="Calibri" w:hAnsi="Calibri"/>
          <w:b/>
          <w:color w:val="1A2010"/>
          <w:sz w:val="40"/>
        </w:rPr>
        <w:t xml:space="preserve">  Rhinebeck Bancorp, Inc.</w:t>
      </w:r>
    </w:p>
    <w:p>
      <w:pPr>
        <w:spacing w:after="120"/>
      </w:pPr>
      <w:r>
        <w:rPr>
          <w:rFonts w:ascii="Calibri" w:hAnsi="Calibri"/>
          <w:b/>
          <w:color w:val="6E8450"/>
          <w:sz w:val="18"/>
        </w:rPr>
        <w:t>GROWTH SLEEVE · 2026-09-19 · Inspire: 24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Rhinebeck Bancorp is the holding company for Rhinebeck Bank, a 166-year-old community bank serving New York's Hudson Valley region. The bank offers traditional deposit products, residential mortgage lending, commercial real estate loans, and small business banking. Rhinebeck completed a second-step conversion from mutual to full stock ownership on July 21, 2026, raising $88.8M in gross proceeds at $10/share. Total assets of $1.47B with $926M in loans and $1.28B in deposits. New CEO Matthew Smith (former Chief Digital Banking Officer at Webster Bank) was appointed October 2025, replacing 40-year veteran Michael Quinn. Headquartered in Poughkeepsie, New York.</w:t>
      </w:r>
    </w:p>
    <w:p>
      <w:r>
        <w:rPr>
          <w:rFonts w:ascii="Calibri" w:hAnsi="Calibri"/>
          <w:b/>
          <w:color w:val="6E8450"/>
          <w:sz w:val="18"/>
        </w:rPr>
        <w:t>158 Employees · https://www.rhinebeckbank.com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Rhinebeck Bank partnered with MANTL to launch digital account opening capabilities and completed a second-step conversion from mutual to stock ownership — structurally significant but standard community bank modernization, not a transformative product pivot [1]. New CEO Matthew Smith (former Chief Digital Banking Officer at Webster Bank) has adopted an open architecture and 'fast follower' technology strategy with a 50-page strategic plan, but no new products or business model changes have shipped yet under his leadership [2]. AI Deployment (0/2): No evidence of AI-powered products, services, or internal AI-driven efficiency gains. CEO Smith is focused on recruiting AI talent and pursuing a 'fast follower' approach, but nothing has been deployed [2]. Market Share (0/2): Rhinebeck Bank is a micro-cap community bank with $1.47B in assets in the fragmented Hudson Valley market — not a category leader or meaningful share gainer [1]. Product Pipeline (0/2): No specific next-generation products announced with timelines; the digital banking modernization initiative under CEO Smith remains in early strategic planning stages. R&amp;D Intensity (0/1): No evidence of above-average technology investment relative to community bank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Rhinebeck Bank's mission — 'helping people and businesses flourish in the communities we live' with all decisions made locally by people who 'live and work in our community' — is clear community banking rhetoric but not distinctive from thousands of similar institutions [3]. The 166-year operating history validates longevity but the mission itself is interchangeable with any community bank peer. Community Impact (1/2): Rhinebeck Bank provides charitable support for over 200 local non-profit organizations annually, supporting youth, families, educational programs, housing initiatives, and the arts, including a partnership with Marist University [3]. Genuine but standard community bank philanthropy without distinctive dollar amounts. Employee Retention (0/2): No specific retention or turnover data available. CEO Smith's practice of personally meeting nearly all 200 employees in his first six months suggests relationship-oriented leadership, but reflects style rather than measurable outcomes [2]. Insider Buying (0/2): No insider buying data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(D/E, Forward P/E, and PEG unavailable — bank financial structure makes standard D/E misleading as deposits are liabilities). ROE of 7.35% is below the 15% target but positive, scoring 0.49 with 2x weight [1]. Revenue growth YoY of 1.4% (net interest income +1.2%) is well below the 10% target, scoring 0.71 [1]. Estimated 5-year revenue CAGR of ~6% scores 0.73. Profit margin of 18.95% is close to the 20% target, scoring 0.95 [1]. The bank completed the transformative second-step conversion on July 21, 2026, raising $88.8M — Tier 1 capital ratio at 14.61% is well above regulatory minimums. Asset quality is strong with NPLs at 0.37% and allowance coverage of 227%. Liquidity floor cleared: 134K avg volume x $12.99 = $1.74M, though this is near the $1M minimum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Rhinebeck Bank demonstrates genuine community roots built over 166 years, with the recent second-step conversion and CEO transition representing meaningful strategic evolution. New CEO Matthew Smith is rebuilding culture around 'speed, transparency, and diversity of thought,' personally meeting nearly all employees and implementing a 50-page strategic plan [2]. The 'open architecture and fast follower' competitive approach suggests willingness to learn from others rather than pure finite competition. However, the bank fundamentally operates as a steady-state community institution — the strategic changes are reactive adaptations to industry trends rather than proactive expressions of a transformative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Rhinebeck Bank's purpose of 'helping people and businesses flourish' in the Hudson Valley is genuine but functionally interchangeable with thousands of community banks [3]. The 166-year history demonstrates durability — enduring through the Civil War, World Wars, Great Depression, and 2008 crisis — but primarily through conservative management and community entrenchment rather than pursuit of an inspiring vision. No unique Just Cause distinguishes Rhinebeck from peer community banks.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Smith's practice of personally visiting every branch to meet employees, his emphasis on 'rebuilding culture around speed, transparency, and diversity of thought,' and his goal-aligned workforce initiative suggest genuine relationship-building [2]. The long tenure of predecessor Michael Quinn (40 years) implies organizational stability. However, no specific retention data, employee satisfaction metrics, or cultural assessments are available to confirm trust levels within the 158-person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Smith has adopted an explicit 'open architecture and fast follower' technology strategy, which inherently acknowledges that competitors and industry leaders are ahead and worth learning from rather than defeating [2]. This approach frames competitive dynamics as motivation to improve by observing what works elsewhere, then adapting those innovations for Rhinebeck's community banking context — consistent with Sinek's worthy rivals concept of using others' strengths to reveal and address your own weaknesses.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second-step conversion from mutual holding company to fully public stock corporation fundamentally changes the bank's capital structure, ownership model, and strategic flexibility [1]. Combined with the CEO transition from 40-year veteran Quinn to digital banking executive Smith (former Chief Digital Banking Officer at Webster Bank), the bank is deliberately evolving its identity. However, these are industry-standard adaptations rather than transformative pivots — many community banks have completed similar conversions.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board showed strategic courage in executing the second-step conversion — transforming from a mutual holding company to a public corporation, raising $88.8M, and appointing a younger, digitally experienced CEO in Matthew Smith to replace 40-year veteran Michael Quinn [1][2]. This represents a meaningful bet on growth and modernization over the comfortable status quo of mutual ownership. Smith's willingness to implement a 50-page strategic plan within six months of appointment demonstrates action bias over preservation.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Rhinebeck Bancorp operates a conservatively managed 166-year-old community bank with $1.47B in assets, strong asset quality (0.37% NPLs, 227% allowance coverage), and well-above-minimum capital ratios (Tier 1 at 14.61%) [1]. The completed second-step conversion raised $88.8M at $10/share, creating a substantial capital war chest for organic growth, potential acquisitions, and future share repurchases — the stock now trades at $12.99, a 30% gain from the offering price. New CEO Matthew Smith brings digital transformation experience from Webster Bank and Columbia Financial, with an 'open architecture, fast follower' technology strategy and a 50-page strategic plan [2]. Trading at 14.43x trailing earnings and approximately 1.42x book value ($9.16 book per share), the stock offers modest valuation support relative to tangible book.</w:t>
      </w:r>
    </w:p>
    <w:p>
      <w:pPr>
        <w:spacing w:after="120"/>
      </w:pPr>
      <w:r>
        <w:rPr>
          <w:rFonts w:ascii="Calibri" w:hAnsi="Calibri"/>
          <w:b w:val="0"/>
          <w:color w:val="3A4A28"/>
          <w:sz w:val="20"/>
        </w:rPr>
        <w:t>Growth headwinds are significant. Net interest income grew only 1.2% YoY in Q2 2026, with net interest margin under pressure from competitive deposit pricing [1]. The second-step conversion roughly doubled the share count to ~19.75M shares, diluting forward EPS substantially from the trailing $0.90 figure. The bank's efficiency ratio of 75.84% lags high-performing community banks (target below 60%) and limits earnings leverage. With no dividend, no analyst coverage, and micro-cap status (~$203M market cap), the stock offers limited catalysts for near-term appreciation. Average daily volume of only 134K shares creates meaningful liquidity risk — the $1.74M daily trading value barely clears the $1M liquidity floor, and institutional investors cannot easily build or exit positions. The Inspire Impact Score of 24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Deployment of $88.8M second-step conversion proceeds into earning assets — if deployed at a 3.5% net spread, it could add $1.5M+ in annual pre-tax income, materially boosting ROA toward the 1.0% threshold for high-performing community banks [1]</w:t>
      </w:r>
    </w:p>
    <w:p>
      <w:pPr>
        <w:spacing w:before="40" w:after="40"/>
        <w:ind w:left="283"/>
      </w:pPr>
      <w:r>
        <w:rPr>
          <w:rFonts w:ascii="Calibri" w:hAnsi="Calibri"/>
          <w:b/>
          <w:color w:val="4A6B25"/>
          <w:sz w:val="20"/>
        </w:rPr>
        <w:t xml:space="preserve">2. </w:t>
      </w:r>
      <w:r>
        <w:rPr>
          <w:rFonts w:ascii="Calibri" w:hAnsi="Calibri"/>
          <w:b w:val="0"/>
          <w:color w:val="3A4A28"/>
          <w:sz w:val="20"/>
        </w:rPr>
        <w:t>Digital banking modernization under CEO Smith's 'open architecture, fast follower' strategy — MANTL partnership, potential BaaS programs, and AI adoption could improve the 75.84% efficiency ratio and attract younger depositors [2]</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initiation as excess capital grows post-conversion, which could attract income-focused investors and improve valuation multiples for this previously underfollowed institution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Micro-cap liquidity risk with no analyst coverage, no dividend, and only 134K average daily volume ($1.74M daily trading value barely above the $1M floor) — institutional investors cannot easily participate, limiting price discovery and creating downside vulnerability [1]</w:t>
      </w:r>
    </w:p>
    <w:p>
      <w:pPr>
        <w:spacing w:before="40" w:after="40"/>
        <w:ind w:left="283"/>
      </w:pPr>
      <w:r>
        <w:rPr>
          <w:rFonts w:ascii="Calibri" w:hAnsi="Calibri"/>
          <w:b/>
          <w:color w:val="4A6B25"/>
          <w:sz w:val="20"/>
        </w:rPr>
        <w:t xml:space="preserve">2. </w:t>
      </w:r>
      <w:r>
        <w:rPr>
          <w:rFonts w:ascii="Calibri" w:hAnsi="Calibri"/>
          <w:b w:val="0"/>
          <w:color w:val="3A4A28"/>
          <w:sz w:val="20"/>
        </w:rPr>
        <w:t>Net interest margin compression as deposit pricing competition intensifies from larger banks and fintechs in the Hudson Valley region, limiting revenue growth (only 1.2% net interest income growth in Q2 2026) [1]</w:t>
      </w:r>
    </w:p>
    <w:p>
      <w:pPr>
        <w:spacing w:before="40" w:after="40"/>
        <w:ind w:left="283"/>
      </w:pPr>
      <w:r>
        <w:rPr>
          <w:rFonts w:ascii="Calibri" w:hAnsi="Calibri"/>
          <w:b/>
          <w:color w:val="4A6B25"/>
          <w:sz w:val="20"/>
        </w:rPr>
        <w:t xml:space="preserve">3. </w:t>
      </w:r>
      <w:r>
        <w:rPr>
          <w:rFonts w:ascii="Calibri" w:hAnsi="Calibri"/>
          <w:b w:val="0"/>
          <w:color w:val="3A4A28"/>
          <w:sz w:val="20"/>
        </w:rPr>
        <w:t>Second-step conversion dilution — pro forma EPS drops roughly 50% as shares nearly doubled, and the $88.8M in proceeds must be deployed profitably to avoid ROE erosion from the significantly larger capital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Community banking is structurally protected from AI disruption by regulatory barriers (FDIC-insured deposits, state banking charter, compliance requirements), switching costs (direct deposit relationships, loan covenants, branch convenience), and relationship-based lending requiring local market knowledge and human judgment [1]. Rhinebeck Bank's 166-year presence and 200+ nonprofit relationships create deep community entrenchment that AI cannot replicate. However, digital banking platforms and fintech lenders (SoFi, LendingClub, Marcus) represent competitive pressure on commodity products like savings accounts, personal loans, and mortgage origination — the MANTL digital account opening partnership acknowledges this encroachment [2]. AI Opportunity (0/1): No evidence of AI-generated revenue or AI-powered products offered to customers. CEO Smith describes a 'fast follower' AI strategy focused on talent recruitment, but no AI deployment initiatives have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Rhinebeck Bancorp Q2 2026 Earnings Release and Second-Step Conversion Completion — Net Income $2.6M, Net Interest Income $11.6M (+1.2%), Assets $1.47B, Deposits $1.28B, Raised $88.8M at $10/share — Nasdaq, AccessNewsWire, July 2026</w:t>
      </w:r>
    </w:p>
    <w:p>
      <w:pPr>
        <w:spacing w:before="20" w:after="20"/>
        <w:ind w:left="170"/>
      </w:pPr>
      <w:r>
        <w:rPr>
          <w:rFonts w:ascii="Calibri" w:hAnsi="Calibri"/>
          <w:b/>
          <w:color w:val="4A6B25"/>
          <w:sz w:val="15"/>
        </w:rPr>
        <w:t xml:space="preserve">2. </w:t>
      </w:r>
      <w:r>
        <w:rPr>
          <w:rFonts w:ascii="Calibri" w:hAnsi="Calibri"/>
          <w:b w:val="0"/>
          <w:color w:val="3A4A28"/>
          <w:sz w:val="17"/>
        </w:rPr>
        <w:t>Rhinebeck Bancorp CEO Matthew Smith — Former Chief Digital Banking Officer at Webster Bank, 'Open Architecture and Fast Follower' Strategy, 50-Page Strategic Plan, Personally Met All Employees — Globe and Mail, Travillian Next, October 2025-2026</w:t>
      </w:r>
    </w:p>
    <w:p>
      <w:pPr>
        <w:spacing w:before="20" w:after="20"/>
        <w:ind w:left="170"/>
      </w:pPr>
      <w:r>
        <w:rPr>
          <w:rFonts w:ascii="Calibri" w:hAnsi="Calibri"/>
          <w:b/>
          <w:color w:val="4A6B25"/>
          <w:sz w:val="15"/>
        </w:rPr>
        <w:t xml:space="preserve">3. </w:t>
      </w:r>
      <w:r>
        <w:rPr>
          <w:rFonts w:ascii="Calibri" w:hAnsi="Calibri"/>
          <w:b w:val="0"/>
          <w:color w:val="3A4A28"/>
          <w:sz w:val="17"/>
        </w:rPr>
        <w:t>Rhinebeck Bank Community Mission and Involvement — 'Helping People and Businesses Flourish,' 200+ Nonprofit Partners — rhinebeckbank.com,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