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RCL</w:t>
      </w:r>
      <w:r>
        <w:rPr>
          <w:rFonts w:ascii="Calibri" w:hAnsi="Calibri"/>
          <w:b/>
          <w:color w:val="1A2010"/>
          <w:sz w:val="40"/>
        </w:rPr>
        <w:t xml:space="preserve">  Royal Caribbean Cruises Ltd.</w:t>
      </w:r>
    </w:p>
    <w:p>
      <w:pPr>
        <w:spacing w:after="120"/>
      </w:pPr>
      <w:r>
        <w:rPr>
          <w:rFonts w:ascii="Calibri" w:hAnsi="Calibri"/>
          <w:b/>
          <w:color w:val="6E8450"/>
          <w:sz w:val="18"/>
        </w:rPr>
        <w:t>GROWTH SLEEVE · 2026-09-08 · Inspire: -1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Hotels, Restaurants &amp; Leisure · NYSE · United States</w:t>
      </w:r>
    </w:p>
    <w:p>
      <w:pPr>
        <w:spacing w:after="80"/>
      </w:pPr>
      <w:r>
        <w:rPr>
          <w:rFonts w:ascii="Calibri" w:hAnsi="Calibri"/>
          <w:b w:val="0"/>
          <w:color w:val="3A4A28"/>
          <w:sz w:val="20"/>
        </w:rPr>
        <w:t>Royal Caribbean Group is the world's second-largest cruise company, operating approximately 65 ships across three global cruise brands: Royal Caribbean International (mass-market/premium), Celebrity Cruises (contemporary premium), and Silversea Cruises (ultra-luxury). Under CEO Jason Liberty (since January 2022), the company has delivered record revenue, a digital transformation with AI-powered pricing and personalization, and launched the Icon Class ships including Icon of the Seas, the world's largest cruise ship. Q2 2026 revenue was $4.8B (+6% YoY) with adjusted EBITDA of $1.8B (37.9% margin) and load factor of 110% [1]. FY2026 guidance calls for 9% revenue growth and adjusted EPS of $17.73-$17.87 (+14% YoY). Market cap approximately $71B.</w:t>
      </w:r>
    </w:p>
    <w:p>
      <w:r>
        <w:rPr>
          <w:rFonts w:ascii="Calibri" w:hAnsi="Calibri"/>
          <w:b/>
          <w:color w:val="6E8450"/>
          <w:sz w:val="18"/>
        </w:rPr>
        <w:t>100,000 Employees · https://www.royalcaribbean.com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Royal Caribbean has executed multiple successful product launches including the Icon Class ships (Icon of the Seas, world's largest cruise ship, 2024; Star of the Seas, 2025), the Utopia of the Seas, and ongoing fleet modernization across all three brands [1]. The digital transformation under CIO Martha Poulter — mobile apps, AI-powered concierge services, contactless check-in, and AI-driven dynamic pricing — represents a meaningful technology-led business model evolution. These launches have driven 110% load factors and premium yields. AI Deployment (1/2): Royal Caribbean has deployed AI-driven pricing tools that adjust fares based on demand, weather, and competitor pricing, plus AI-powered concierge services and personalized onboard recommendations [3]. CEO Liberty describes a 'flywheel' linking digital engagement to guest loyalty and revenue. However, specific dollar amounts of AI-driven revenue gains or cost savings are not publicly quantified. Market Share (2/2): Royal Caribbean is the world's second-largest cruise company by revenue and arguably the premium segment leader, with 70% load factors above double occupancy and the industry's most innovative ship designs. The company is defining the next generation of cruising with the Icon Class, and its multi-brand portfolio (Royal Caribbean, Celebrity, Silversea) covers mass-market through ultra-luxury segments [1]. Product Pipeline (2/2): Multi-year ship delivery pipeline with specific capacity growth projections: 6.6% in 2026, 4% in 2027, 6% in 2028, 7% in 2029, funded by ~$4.7B annual CapEx [1]. Each new ship class represents a next-generation product with revenue visibility years in advance through advance bookings. R&amp;D Intensity (0/1): Cruise lines do not separately report R&amp;D expenditure. Innovation spending is embedded within CapEx for new ship construction and onboard technology, making direct comparison to R&amp;D-intensive industries impractical.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Royal Caribbean's purpose centers on delivering the best vacation experiences and reshaping the $2 trillion vacation industry. CEO Liberty articulates a clear vision connecting digital capabilities to guest experience through the 'flywheel' strategy [3]. The purpose identifies what the company does and for whom, but does not articulate a deeper purpose beyond being the best in leisure travel — it is clear but not distinctive in the way that a transformative cause would be. Community &amp; Charitable Impact (1/2): Royal Caribbean publishes an annual 'Seastainability' report covering environmental commitments (net zero innovation, cleaner fuels), sustainable tourism, and community engagement in port destinations [5]. The company has disaster relief programs and port community investments. These are meaningful but represent standard corporate sustainability for a large hospitality company. Employee Retention (0/2): Glassdoor reviews reveal mixed perspectives: some employees praise the company culture and innovation focus, while others describe 'toxic culture with degrading leadership, long hours, and significant turnover' [3]. The cruise industry inherently faces high crew turnover due to the demanding nature of shipboard work. No specific retention or tenure metrics are available. Insider Buying (0/2): No evidence of meaningful net insider buying by executives identified in the last 12 months. The company repurchased $1.035B in shares in H1 2026, but this is corporate buyback activity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exceptionally strong metrics across most dimensions. ROE of 44.67% exceeds the 15% target (scoring maximum with 2x weight), and profit margin of 23.54% exceeds the 20% target (scoring 1.0) — reflecting the post-COVID margin transformation in cruising [4]. Forward P/E of 14.07x is well below the 20x target, and the PEG ratio of 0.86 is below the 1.0 target (both scoring maximum, PEG with 2x weight). Revenue growth YoY of 9% nearly reaches the 10% target (scoring 0.97), and the 5-year revenue CAGR of approximately 24% (distorted by COVID recovery from $6.6B in FY2021 to projected $19.1B in FY2026) scores maximum with 2x weight. The only significant drag is the debt-to-equity ratio of 225%, scoring 0.33 on the 70-300% interpolation scale — this reflects the $23.5B debt load accumulated during the pandemic and expanded for new ship construction [1]. Easily clears the liquidity floor with daily trading value of approximately $429M.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Royal Caribbean under Jason Liberty demonstrates strong Infinite Game characteristics. The company's 'flywheel' strategy links digital capabilities to guest loyalty and revenue growth, representing a coherent long-term vision beyond quarterly optimization. The bold commitment to multi-billion dollar new ship construction through and after the pandemic, including the world's largest ship (Icon of the Seas), shows Courage to Lead. Liberty frames competition not as a war against Carnival but as competing for the $2 trillion vacation industry — an infinite game framing. The pandemic survival and recovery, maintaining the shipbuilding pipeline when the industry faced existential threat, validated the company's long-term orientation.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Royal Caribbean's purpose — reshaping the $2 trillion vacation industry through transformative experiences — is genuine and has shaped strategic decisions. CEO Liberty's 'flywheel' strategy connecting digital innovation to guest loyalty to revenue growth reflects a coherent vision beyond quarterly earnings [3]. The company's commitment to multi-generational vacation experiences and its investment in increasingly innovative ship designs (Icon Class) serve a cause larger than market share capture. The pandemic survival, during which the company maintained its long-term shipbuilding pipeline despite existential financial pressure, demonstrates that the purpose survived crisis. However, the cause is ultimately about being the best in leisure travel rather than a vision of a future state that transcends the industry.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Royal Caribbean maintains a large workforce of approximately 100,000 employees across shore-side and shipboard operations. The company retained its organizational structure through the pandemic and executed a rapid recovery, suggesting organizational resilience. CEO Liberty's emphasis on the 'flywheel' strategy implies alignment across the organization. However, Glassdoor reviews reveal mixed signals: some employees cite innovation culture and strong leadership communication, while others describe 'toxic culture with degrading leadership' and 'significant turnover' [3]. The cruise industry's inherently demanding work conditions (long deployments, limited personal time) create structural challenges for building Sinek's 'Circle of Safety' at the crew level.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Liberty frames Royal Caribbean's competitive landscape through a distinctly infinite game lens. Rather than positioning against Carnival or Norwegian as enemies to defeat, Liberty describes competing for the $2 trillion global vacation industry — positioning Taylor Swift concerts, Las Vegas trips, and theme parks as the competitive set alongside cruise peers [3]. This framing uses competitive pressure to improve the overall vacation product rather than to destroy rivals. The company acknowledges that cruising still represents a small fraction of the vacation market, focusing on converting land-based vacationers rather than stealing share from other cruise lines.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Royal Caribbean has evolved from a traditional cruise line into a technology-enabled vacation platform through digital transformation under CIO Martha Poulter [3]. The expansion from mass-market cruising into ultra-luxury (Silversea acquisition), the development of private island destinations (Perfect Day at CocoCay), and the creation of entirely new ship categories (Icon Class, world's largest cruise ship) represent meaningful strategic evolution. However, the core business remains cruising — the delivery models and market segments have expanded, but the company has not fundamentally reinvented itself in the way that Sinek's canonical examples (Apple, Fujifilm) have.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Royal Caribbean has demonstrated a consistent pattern of costly long-term bets. During and after the pandemic — when the company was burning $250M+ per month with zero revenue — management maintained the multi-billion dollar new ship construction pipeline rather than canceling orders, a decision that gave RCL first-mover advantage in the post-COVID recovery with the most modern fleet in the industry [1]. The Icon of the Seas ($2B+ investment) was the world's largest cruise ship and a bold product bet. CapEx of $4.7B in 2026 for new ships represents continued heavy investment in future capacity. Share repurchases of $1.035B in H1 2026 alongside debt reduction show confidence in the long-term. These capital allocation decisions consistently prioritize future capability over current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Royal Caribbean at 14.07x forward earnings with a 0.86 PEG ratio offers compelling value for a consumer discretionary compounder delivering double-digit earnings growth. Q2 2026 produced $4.8B revenue (+6% YoY) with $1.8B adjusted EBITDA (37.9% margin) and 110% load factor, demonstrating continued pricing power and demand resilience [1]. FY2026 guidance was raised to $17.73-$17.87 adjusted EPS (+14% YoY), and the multi-year capacity pipeline (6.6% growth in 2026, 4-7% annually through 2029) provides revenue visibility rare in consumer discretionary [1]. ROE of 44.67%, profit margin of 23.54%, and $1.035B in H1 2026 share repurchases reflect a company in peak operational form. CEO Liberty's 'flywheel' strategy — linking AI-powered digital engagement to guest loyalty to revenue yields — is working: net yields increased 3.6% in Q1 and 1.9% in Q2 on top of already-record levels [2]. The cruise industry remains underpenetrated relative to the $2 trillion vacation market, providing a long growth runway.</w:t>
      </w:r>
    </w:p>
    <w:p>
      <w:pPr>
        <w:spacing w:after="120"/>
      </w:pPr>
      <w:r>
        <w:rPr>
          <w:rFonts w:ascii="Calibri" w:hAnsi="Calibri"/>
          <w:b w:val="0"/>
          <w:color w:val="3A4A28"/>
          <w:sz w:val="20"/>
        </w:rPr>
        <w:t>The bear case centers on leverage, macroeconomic sensitivity, and geopolitical risk. The debt-to-equity ratio of 225% with $23.5B total debt reflects the pandemic-era borrowing that has not yet been fully deleveraged — interest expense consumes meaningful earnings, and the $4.7B annual CapEx for new ships limits free cash flow available for debt reduction [1][4]. The stock has declined 25.3% over the past 52 weeks despite strong fundamentals, suggesting the market is pricing in recession risk — cruising is deeply cyclical, and a consumer spending pullback would compress both load factors and yields. FY2026 revenue growth guidance was trimmed from approximately 10% to 9%, and net yield growth decelerated from 3.6% in Q1 to 1.9% in Q2, raising questions about demand momentum in the second half [1][2]. Geopolitical risks have already impacted certain itineraries, and fuel price volatility remains a margin headwind. The cruise industry faces ongoing environmental scrutiny over emissions, waste discharge, and port community impacts. The Inspire Impact Score of -1 (MIXED) with a Gambling negative attribution may limit faith-based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Multi-year capacity growth pipeline (6.6% in 2026, 4% in 2027, 6% in 2028, 7% in 2029) with new Icon Class and next-generation ships providing visible revenue growth and supporting the 14%+ EPS growth trajectory through fleet expansion and operating leverage [1]</w:t>
      </w:r>
    </w:p>
    <w:p>
      <w:pPr>
        <w:spacing w:before="40" w:after="40"/>
        <w:ind w:left="283"/>
      </w:pPr>
      <w:r>
        <w:rPr>
          <w:rFonts w:ascii="Calibri" w:hAnsi="Calibri"/>
          <w:b/>
          <w:color w:val="4A6B25"/>
          <w:sz w:val="20"/>
        </w:rPr>
        <w:t xml:space="preserve">2. </w:t>
      </w:r>
      <w:r>
        <w:rPr>
          <w:rFonts w:ascii="Calibri" w:hAnsi="Calibri"/>
          <w:b w:val="0"/>
          <w:color w:val="3A4A28"/>
          <w:sz w:val="20"/>
        </w:rPr>
        <w:t>AI-powered digital flywheel driving revenue yield expansion through dynamic pricing, personalized guest experiences, and mobile app engagement — net yields increased 3.6% in Q1 and 1.9% in Q2 on top of record levels, with further margin contribution expected as AI tools mature [2][3]</w:t>
      </w:r>
    </w:p>
    <w:p>
      <w:pPr>
        <w:spacing w:before="40" w:after="40"/>
        <w:ind w:left="283"/>
      </w:pPr>
      <w:r>
        <w:rPr>
          <w:rFonts w:ascii="Calibri" w:hAnsi="Calibri"/>
          <w:b/>
          <w:color w:val="4A6B25"/>
          <w:sz w:val="20"/>
        </w:rPr>
        <w:t xml:space="preserve">3. </w:t>
      </w:r>
      <w:r>
        <w:rPr>
          <w:rFonts w:ascii="Calibri" w:hAnsi="Calibri"/>
          <w:b w:val="0"/>
          <w:color w:val="3A4A28"/>
          <w:sz w:val="20"/>
        </w:rPr>
        <w:t>Share repurchase program returning $1.035B to shareholders in H1 2026 alongside $6.00/share annual dividend (2.26% yield), with the aggressive buyback pace suggesting management's confidence that the stock is undervalued at 14.07x forward earnings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Macroeconomic recession risk as cruising is deeply cyclical and discretionary — a consumer spending pullback would compress both load factors (currently at 110%) and net yields, while $23.5B in debt and $4.7B annual CapEx obligations create operating leverage that amplifies downside [1][4]</w:t>
      </w:r>
    </w:p>
    <w:p>
      <w:pPr>
        <w:spacing w:before="40" w:after="40"/>
        <w:ind w:left="283"/>
      </w:pPr>
      <w:r>
        <w:rPr>
          <w:rFonts w:ascii="Calibri" w:hAnsi="Calibri"/>
          <w:b/>
          <w:color w:val="4A6B25"/>
          <w:sz w:val="20"/>
        </w:rPr>
        <w:t xml:space="preserve">2. </w:t>
      </w:r>
      <w:r>
        <w:rPr>
          <w:rFonts w:ascii="Calibri" w:hAnsi="Calibri"/>
          <w:b w:val="0"/>
          <w:color w:val="3A4A28"/>
          <w:sz w:val="20"/>
        </w:rPr>
        <w:t>Net yield growth deceleration from 3.6% in Q1 to 1.9% in Q2 and FY2026 revenue guidance trimmed from ~10% to 9% suggest the post-pandemic pricing power tailwind may be fading, with geopolitical events already impacting certain itineraries [1][2]</w:t>
      </w:r>
    </w:p>
    <w:p>
      <w:pPr>
        <w:spacing w:before="40" w:after="40"/>
        <w:ind w:left="283"/>
      </w:pPr>
      <w:r>
        <w:rPr>
          <w:rFonts w:ascii="Calibri" w:hAnsi="Calibri"/>
          <w:b/>
          <w:color w:val="4A6B25"/>
          <w:sz w:val="20"/>
        </w:rPr>
        <w:t xml:space="preserve">3. </w:t>
      </w:r>
      <w:r>
        <w:rPr>
          <w:rFonts w:ascii="Calibri" w:hAnsi="Calibri"/>
          <w:b w:val="0"/>
          <w:color w:val="3A4A28"/>
          <w:sz w:val="20"/>
        </w:rPr>
        <w:t>Elevated leverage with debt-to-equity of 225% and $23.5B total debt constraining financial flexibility — while the company is deleveraging, interest expense reduces earnings quality, and any extended demand downturn could pressure the dividend reinstatement and share repurchase program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Royal Caribbean's core business — multi-day vacation experiences on floating resorts — is structurally immune to AI disruption. Cruising involves physical infrastructure (ships, ports, destinations), in-person hospitality, live entertainment, dining, and experiential tourism that AI cannot replicate or substitute [3]. AI is purely an enabler for the cruise industry: it optimizes pricing, personalizes guest experiences, improves operational efficiency, and enhances onboard services. The $2 trillion vacation industry that CEO Liberty targets is driven by human desire for physical experiences, which AI may amplify (higher incomes for knowledge workers, better trip planning) rather than diminish. The only theoretical risk — virtual reality substituting for physical travel — remains speculative and is not flagged by any analyst as a near-term threat. AI data center buildout increases demand for leisure travel as technology sector wealth grows. AI Opportunity (1/1): Royal Caribbean generates measurable value from AI deployment across multiple channels: AI-driven dynamic pricing adjusts fares based on demand, weather, and competitive signals to optimize revenue yields; AI-powered concierge services enhance the guest experience and drive onboard spending; and the digital transformation 'flywheel' linking mobile app engagement to loyalty and revenue is explicitly cited by CEO Liberty as a growth driver [3]. While AI revenue is not separately reported, it is embedded in the yield improvements and margin expansion the company delivers.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Royal Caribbean Q2 2026 Earnings Release — Revenue $4.8B (+6% YoY), Net Income $1.1B ($4.20/share), Adjusted EBITDA $1.8B (37.9% margin), Load Factor 110%, FY2026 Guidance: Revenue +9%, Adjusted EPS $17.73-$17.87 (+14% YoY), Share Repurchases $1.035B in H1, CapEx ~$4.7B, PRNewswire, July 2026</w:t>
      </w:r>
    </w:p>
    <w:p>
      <w:pPr>
        <w:spacing w:before="20" w:after="20"/>
        <w:ind w:left="170"/>
      </w:pPr>
      <w:r>
        <w:rPr>
          <w:rFonts w:ascii="Calibri" w:hAnsi="Calibri"/>
          <w:b/>
          <w:color w:val="4A6B25"/>
          <w:sz w:val="15"/>
        </w:rPr>
        <w:t xml:space="preserve">2. </w:t>
      </w:r>
      <w:r>
        <w:rPr>
          <w:rFonts w:ascii="Calibri" w:hAnsi="Calibri"/>
          <w:b w:val="0"/>
          <w:color w:val="3A4A28"/>
          <w:sz w:val="17"/>
        </w:rPr>
        <w:t>Royal Caribbean Q1 2026 Earnings — Revenue $4.5B (+11% YoY), EPS +33%, Net Yields +3.6%, Load Factor 110%, guidance update, April 2026</w:t>
      </w:r>
    </w:p>
    <w:p>
      <w:pPr>
        <w:spacing w:before="20" w:after="20"/>
        <w:ind w:left="170"/>
      </w:pPr>
      <w:r>
        <w:rPr>
          <w:rFonts w:ascii="Calibri" w:hAnsi="Calibri"/>
          <w:b/>
          <w:color w:val="4A6B25"/>
          <w:sz w:val="15"/>
        </w:rPr>
        <w:t xml:space="preserve">3. </w:t>
      </w:r>
      <w:r>
        <w:rPr>
          <w:rFonts w:ascii="Calibri" w:hAnsi="Calibri"/>
          <w:b w:val="0"/>
          <w:color w:val="3A4A28"/>
          <w:sz w:val="17"/>
        </w:rPr>
        <w:t>Royal Caribbean CEO Jason Liberty Strategy — AI-powered pricing and personalization, 'flywheel' strategy, digital transformation, CIO Martha Poulter, $2T vacation industry framing, Glassdoor reviews, Skift/Fortune/Klover.ai,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RCL Key Statistics: Forward P/E 14.07x, PEG 0.86, D/E 225%, ROE 44.67%, Profit Margin 23.54%, Dividend Yield 2.26%, Stock Price $265.19, Market Cap $70.93B,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Royal Caribbean ESG — Seastainability Report, net zero innovation, cleaner fuels, community programs, environmental commitments, responsibilityreports.com,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