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w:t>
      </w:r>
      <w:r>
        <w:rPr>
          <w:rFonts w:ascii="Calibri" w:hAnsi="Calibri"/>
          <w:b/>
          <w:color w:val="1A2010"/>
          <w:sz w:val="40"/>
        </w:rPr>
        <w:t xml:space="preserve">  Ready Capital Corporation</w:t>
      </w:r>
    </w:p>
    <w:p>
      <w:pPr>
        <w:spacing w:after="120"/>
      </w:pPr>
      <w:r>
        <w:rPr>
          <w:rFonts w:ascii="Calibri" w:hAnsi="Calibri"/>
          <w:b/>
          <w:color w:val="6E8450"/>
          <w:sz w:val="18"/>
        </w:rPr>
        <w:t>GROWTH SLEEVE · 2026-09-05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Mortgage REITs · NYSE · United States</w:t>
      </w:r>
    </w:p>
    <w:p>
      <w:pPr>
        <w:spacing w:after="80"/>
      </w:pPr>
      <w:r>
        <w:rPr>
          <w:rFonts w:ascii="Calibri" w:hAnsi="Calibri"/>
          <w:b w:val="0"/>
          <w:color w:val="3A4A28"/>
          <w:sz w:val="20"/>
        </w:rPr>
        <w:t>Ready Capital is a multi-strategy real estate finance company that originates, acquires, finances, and services lower-to-middle-market commercial real estate loans and SBA 7(a) small business loans. The company is externally managed by Waterfall Asset Management. FY2025 estimated revenue of $541M masks severe underlying deterioration — TTM EPS of -$3.48 reflects massive credit losses and portfolio writedowns. The dividend was slashed 97% from $0.40/quarter (2023) to $0.013/quarter, the stock has declined 68% over the past year to $1.99, and market cap has shrunk to $280M. CEO Tom Capasse has led the company since 2016 through Waterfall Asset Management.</w:t>
      </w:r>
    </w:p>
    <w:p>
      <w:r>
        <w:rPr>
          <w:rFonts w:ascii="Calibri" w:hAnsi="Calibri"/>
          <w:b/>
          <w:color w:val="6E8450"/>
          <w:sz w:val="18"/>
        </w:rPr>
        <w:t>400 Employees · https://www.readycapital.com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market pivots, or business model transformations in the last 5 years. Ready Capital has operated the same commercial lending and SBA 7(a) model throughout, with the primary change being a deterioration in credit quality and portfolio performance rather than strategic evolution [1]. AI Deployment (0/2): No evidence of AI-powered products, AI-enhanced underwriting, or quantified AI-driven operational efficiencies. The appointment of Matt Cohen as Chief Technology Officer in early 2026 suggests technology capabilities are being built reactively rather than proactively [2]. Market Share (0/2): Ready Capital is a small-cap mortgage REIT ($280M market cap) competing against much larger commercial lending platforms — it is not a category leader or meaningful share gainer in any lending segment [1]. Product Pipeline (1/2): The company has articulated a 'capital light small business lending' strategy through SBA 7(a) loans that provides some differentiation, and new leadership appointments (Dominick Scali as CCO, David Cohen as Co-President of ReadyCap Commercial) signal a restructuring effort [2]. However, no specific next-gen products with revenue visibility have been announced. R&amp;D Intensity (0/1): Financial services firms invest minimally in traditional R&amp;D, and Ready Capital has shown no above-average technology investment relative to REIT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Ready Capital's stated mission emphasizes 'democratizing capital for small and medium businesses' — this identifies a specific beneficiary (underserved SMBs) and connects the business to a larger purpose of economic inclusion [2]. The language is clear and differentiates from generic financial services peers, though it has not been validated through crisis (the company is failing to execute on this mission during its current financial distress). Community &amp; Charitable Impact (0/2): No evidence of significant charitable programs, foundation activities, or community investment was identified in public materials or press releases. Employee Retention &amp; Tenure (0/2): COO Gary Taylor stepped down in early 2026, with operational responsibilities transitioning to Matt Cohen. Multiple leadership changes during a period of financial distress suggest organizational instability rather than a trust-driven culture [2]. Insider Buying (0/2): No evidence of meaningful net insider buying by executives. The stock's 68% decline over the past year and market cap erosion to $280M suggest insiders are not stepping in with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Ready Capital's financial profile is deeply distressed across virtually every dimension. D/E of 247% significantly exceeds the 70% target, though this is structurally inherent to mortgage REITs that use leverage as a core business tool — it scores 0.23 on the interpolation scale [3]. ROE of -13.30% is well below the 0% floor, reflecting substantial portfolio losses and credit writedowns [3]. Profit margin of -86.57% (TTM net margin) reflects the severity of unrealized and realized losses against revenue [3]. Revenue growth YoY and 5-year CAGR are excluded as REIT revenue definitions are inconsistent across reporting periods and include volatile mark-to-market components. Forward P/E is excluded as FY2026 EPS estimates are negative (-$0.171). PEG ratio is not calculable with negative earnings. The stock clears the liquidity floor at $4.6M in daily dollar volume (2.3M shares x $1.99), but only marginally. Infrastructure scores at 1 based solely on partial credit from D/E being below the 300%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Ready Capital is a textbook finite player in severe distress — the company is playing to survive, not to advance a Just Cause. The 97% dividend cut, 68% stock price decline, COO departure, and multiple leadership restructurings reflect an organization in crisis mode optimizing for quarterly survival rather than long-term endurance [1][2]. The externally-managed structure (Waterfall Asset Management) creates an inherent principal-agent misalignment where the manager earns fees regardless of shareholder outcomes, the antithesis of Sinek's infinite game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'Democratizing capital for small and medium businesses' is a stated purpose but reads as aspirational marketing rather than a lived cause — the company is currently failing to execute on this mission as credit losses mount, the dividend has been slashed 97%, and the stock has lost 68% of its value [1][2]. A Just Cause must survive crisis; this one has not. The external management structure through Waterfall Asset Management further undermines cause-driven alignment, as the management company's incentives (fee generation) differ from shareholder interests.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of organizational instability undermines trust. COO Gary Taylor stepped down in early 2026 during the company's deepest crisis, with operational responsibilities hastily reassigned to Matt Cohen who was simultaneously promoted to CTO and Head of Operations [2]. Multiple leadership changes during financial distress — including new CCO and Co-President appointments — suggest reactive restructuring rather than a stable, trust-driven organization. The external management structure inherently limits the depth of organizational trust, as key decisions flow from Waterfall Asset Management rather than from within the REIT itself.</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With the stock at $1.99 and market cap of $280M, the competitive conversation is about survival rather than learning from rivals [1]. The company's Q4 2025 earnings call focused on portfolio stabilization and loss mitigation rather than competitive positioning or self-improvement relative to peers. In a market where Arbor Realty, Ladder Capital, and other mortgage REITs are navigating the same rate environment with less distress, Ready Capital has not articulated what it can learn from peers that are performing better.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strategic adaptation or business model evolution. Ready Capital continues to operate the same commercial lending model that generated the current crisis. The company has not pivoted away from the distressed loan categories or portfolio exposures that caused massive writedowns, nor has it articulated a vision for how the business model must change [1]. A company facing existential financial distress that does not reimagine its approach is demonstrating rigidity, not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97% dividend cut from $0.40/quarter to $0.013/quarter was a survival necessity, not a strategic choice to invest in the future [1]. Leadership has optimized for near-term capital preservation rather than making bold investments in new capabilities or market positioning. The external management structure through Waterfall further limits courage-to-lead potential, as the manager's fee structure incentivizes asset gathering rather than transformative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Ready Capital at $1.99 is a deep-value or deep-distress play depending on whether the credit cycle turns. The bull case rests on the company's SBA 7(a) lending franchise, which provides government-guaranteed loan origination fees and recurring servicing income with lower credit risk than the commercial real estate portfolio [2]. Analysts forecast revenue growth of 86.9% and earnings growth of 111.3% per annum as the portfolio stabilizes and mark-to-market losses reverse — if these estimates materialize, the stock could re-rate significantly from its sub-$300M market cap [1]. The D/E ratio improved from 378% to 247% between Q1 and Q2 2026, suggesting active deleveraging or asset value recovery. The 'democratizing capital for SMBs' mission aligns with favorable regulatory tailwinds for community-oriented lending.</w:t>
      </w:r>
    </w:p>
    <w:p>
      <w:pPr>
        <w:spacing w:after="120"/>
      </w:pPr>
      <w:r>
        <w:rPr>
          <w:rFonts w:ascii="Calibri" w:hAnsi="Calibri"/>
          <w:b w:val="0"/>
          <w:color w:val="3A4A28"/>
          <w:sz w:val="20"/>
        </w:rPr>
        <w:t>The bear case is overwhelming. The stock has lost 68% of its value in one year, the dividend was cut 97% (from $1.60/year to $0.052/year), TTM EPS is -$3.48 (1.7x the current stock price in losses), and net margin is -86.57% [1][3]. These are not cyclical adjustments — they reflect structural portfolio impairment from commercial real estate credit deterioration. The external management structure through Waterfall Asset Management creates a permanent principal-agent conflict where the manager earns fees on AUM regardless of shareholder returns. Market cap of $280M against a book value that may be significantly written down suggests the market is pricing in further equity erosion. ROE of -13.30% means every dollar of shareholder equity is being destroyed. The company trades near $2/share, approaching levels where institutional holders face mandate-driven forced selling, delisting risk, and liquidity spirals. Inspire Impact Score of 25 (MIXED) and minimal positive attributions offer no offset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Portfolio stabilization and reversal of mark-to-market losses as commercial real estate credit conditions improve, potentially driving TTM earnings from deeply negative to breakeven or positive as analyst forecasts suggest 111% earnings growth [1]</w:t>
      </w:r>
    </w:p>
    <w:p>
      <w:pPr>
        <w:spacing w:before="40" w:after="40"/>
        <w:ind w:left="283"/>
      </w:pPr>
      <w:r>
        <w:rPr>
          <w:rFonts w:ascii="Calibri" w:hAnsi="Calibri"/>
          <w:b/>
          <w:color w:val="4A6B25"/>
          <w:sz w:val="20"/>
        </w:rPr>
        <w:t xml:space="preserve">2. </w:t>
      </w:r>
      <w:r>
        <w:rPr>
          <w:rFonts w:ascii="Calibri" w:hAnsi="Calibri"/>
          <w:b w:val="0"/>
          <w:color w:val="3A4A28"/>
          <w:sz w:val="20"/>
        </w:rPr>
        <w:t>SBA 7(a) lending franchise provides government-guaranteed fee income that could become a larger proportion of revenue as the riskier CRE portfolio is managed down, offering a path to capital-light recurring revenue [2]</w:t>
      </w:r>
    </w:p>
    <w:p>
      <w:pPr>
        <w:spacing w:before="40" w:after="40"/>
        <w:ind w:left="283"/>
      </w:pPr>
      <w:r>
        <w:rPr>
          <w:rFonts w:ascii="Calibri" w:hAnsi="Calibri"/>
          <w:b/>
          <w:color w:val="4A6B25"/>
          <w:sz w:val="20"/>
        </w:rPr>
        <w:t xml:space="preserve">3. </w:t>
      </w:r>
      <w:r>
        <w:rPr>
          <w:rFonts w:ascii="Calibri" w:hAnsi="Calibri"/>
          <w:b w:val="0"/>
          <w:color w:val="3A4A28"/>
          <w:sz w:val="20"/>
        </w:rPr>
        <w:t>Active deleveraging — D/E improvement from 378% to 247% between Q1 and Q2 2026 suggests management is reducing balance sheet risk, which could restore investor confidence if the trend continues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commercial real estate credit deterioration could generate additional portfolio writedowns beyond what TTM losses of -$3.48/share have already captured, potentially wiping out remaining book value equity [1][3]</w:t>
      </w:r>
    </w:p>
    <w:p>
      <w:pPr>
        <w:spacing w:before="40" w:after="40"/>
        <w:ind w:left="283"/>
      </w:pPr>
      <w:r>
        <w:rPr>
          <w:rFonts w:ascii="Calibri" w:hAnsi="Calibri"/>
          <w:b/>
          <w:color w:val="4A6B25"/>
          <w:sz w:val="20"/>
        </w:rPr>
        <w:t xml:space="preserve">2. </w:t>
      </w:r>
      <w:r>
        <w:rPr>
          <w:rFonts w:ascii="Calibri" w:hAnsi="Calibri"/>
          <w:b w:val="0"/>
          <w:color w:val="3A4A28"/>
          <w:sz w:val="20"/>
        </w:rPr>
        <w:t>At $1.99/share and $280M market cap, the stock faces liquidity spiral risk — institutional mandates that prohibit sub-$2 or sub-$1B market cap holdings could force additional selling, while potential NYSE listing requirements create delisting overhang [1]</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through Waterfall Asset Management creates permanent principal-agent misalignment — the manager earns fees on AUM regardless of shareholder returns, reducing incentive for the transformative restructuring the business requires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Ready Capital's core business of originating and servicing commercial real estate loans has meaningful structural protections against AI disruption — regulatory requirements (SBA licensing, banking regulations), relationship-driven lending to small and mid-market borrowers, physical property evaluation, and proprietary credit assessment built on decades of underwriting experience [2]. AI cannot replace the judgment required to evaluate a $5M strip mall loan or the regulatory compliance framework governing SBA lending. However, AI-powered fintech competitors (Funding Circle, Kabbage/American Express, LendingClub) are increasingly automating small business credit decisions, potentially compressing margins and disintermediating traditional lenders for standardized loan products. Mortgage REIT portfolio management could also face AI disruption through algorithmic trading and automated credit analysis. Score reflects protected but partially exposed positioning. AI Opportunity (0/1): No evidence of AI-generated revenue or AI-powered lending products. The appointment of a CTO in 2026 suggests technology capabilities are nascent rather than revenue-producing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Ready Capital Q4 2025 Earnings Call and Financial Results — Revenue $540.7M (FY2025 Est), EPS -$3.48 TTM, Market Cap $280M, 68% Stock Decline YoY, Dividend Cut to $0.013/Quarter, February 2026</w:t>
      </w:r>
    </w:p>
    <w:p>
      <w:pPr>
        <w:spacing w:before="20" w:after="20"/>
        <w:ind w:left="170"/>
      </w:pPr>
      <w:r>
        <w:rPr>
          <w:rFonts w:ascii="Calibri" w:hAnsi="Calibri"/>
          <w:b/>
          <w:color w:val="4A6B25"/>
          <w:sz w:val="15"/>
        </w:rPr>
        <w:t xml:space="preserve">2. </w:t>
      </w:r>
      <w:r>
        <w:rPr>
          <w:rFonts w:ascii="Calibri" w:hAnsi="Calibri"/>
          <w:b w:val="0"/>
          <w:color w:val="3A4A28"/>
          <w:sz w:val="17"/>
        </w:rPr>
        <w:t>Ready Capital Corporate Website and Leadership Changes — CEO Tom Capasse (Waterfall), Matt Cohen CTO/Head of Ops, Dominick Scali CCO, David Cohen Co-President ReadyCap Commercial, Mission Statement,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Simply Wall St — RC Key Statistics: Stock Price $1.99, D/E 247%, ROE -13.30%, Net Margin -86.57%, Avg Volume 2.3M, Shares Outstanding 165.2M,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