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REG</w:t>
      </w:r>
      <w:r>
        <w:rPr>
          <w:rFonts w:ascii="Calibri" w:hAnsi="Calibri"/>
          <w:b/>
          <w:color w:val="1A2010"/>
          <w:sz w:val="40"/>
        </w:rPr>
        <w:t xml:space="preserve">  Regency Centers Corporation</w:t>
      </w:r>
    </w:p>
    <w:p>
      <w:pPr>
        <w:spacing w:after="120"/>
      </w:pPr>
      <w:r>
        <w:rPr>
          <w:rFonts w:ascii="Calibri" w:hAnsi="Calibri"/>
          <w:b/>
          <w:color w:val="6E8450"/>
          <w:sz w:val="18"/>
        </w:rPr>
        <w:t>DIVIDEND SLEEVE · 2026-09-21 · Inspire: 69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Retail · NASDAQ · United States</w:t>
      </w:r>
    </w:p>
    <w:p>
      <w:pPr>
        <w:spacing w:after="80"/>
      </w:pPr>
      <w:r>
        <w:rPr>
          <w:rFonts w:ascii="Calibri" w:hAnsi="Calibri"/>
          <w:b w:val="0"/>
          <w:color w:val="3A4A28"/>
          <w:sz w:val="20"/>
        </w:rPr>
        <w:t>Regency Centers Corporation is a preeminent S&amp;P 500 REIT that owns, operates, and develops grocery-anchored, open-air neighborhood and community shopping centers across the United States. The portfolio comprises approximately 480 properties totaling 57 million square feet, primarily anchored by market-leading grocery stores and complemented by restaurants, medical offices, fitness centers, and essential service retailers. Leased occupancy approaches 97%. Founded in 1963 and headquartered in Jacksonville, Florida, with TTM revenue of $1.69B.</w:t>
      </w:r>
    </w:p>
    <w:p>
      <w:r>
        <w:rPr>
          <w:rFonts w:ascii="Calibri" w:hAnsi="Calibri"/>
          <w:b/>
          <w:color w:val="6E8450"/>
          <w:sz w:val="18"/>
        </w:rPr>
        <w:t>503 Employees · https://www.regencycenters.com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Regency has delivered consistent operational excellence — Q1 2026 same-property NOI grew 4.4% with base rent growth of 3.5% and leased occupancy approaching 97% [1][2]. However, the core business model of grocery-anchored shopping center ownership and operation has not materially changed in decades. The Urstadt Biddle acquisition (2023, ~$1.4B) expanded the portfolio but was additive rather than transformative. AI Deployment (0/2): AI adoption is nascent and limited to productivity tools — SVP Jan Hanak discussed using AI for tenant research, market intel, and site selection via Microsoft 365 and Google Workspace, but no proprietary AI capabilities or transformative AI initiatives have been deployed [3]. Market Share (2/2): Regency is one of the preeminent grocery-anchored shopping center REITs nationally, with S&amp;P 500 membership since 2017, approximately 480 properties, and compelling suburban demographics — a clear category leader with 97% occupancy [1]. Product Pipeline (1/2): Active development and redevelopment pipeline exceeding $600M in total value, with management describing it as a strategic differentiator for shareholder value creation [2]. R&amp;D Intensity (0/1): REITs do not conduct formal R&amp;D; innovation is through property selection, tenant curation, and development execution.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Regency's mission to be the preeminent owner, operator, and developer of high-quality grocery-anchored shopping centers is specific and intentional — the deliberate focus on grocery anchors reflects genuine purpose around connecting neighborhoods with essential services (food, healthcare, personal care), differentiating from general retail REITs [3]. The 63-year corporate history since 1963 demonstrates consistent dedication. Community Impact (1/2): Corporate responsibility program built on four pillars (People, Communities, Ethics/Governance, Environmental Stewardship) with SBTi-endorsed GHG reduction targets [3]. Ranked 6th overall on Newsweek's Most Responsible Companies List and 1st in Real Estate &amp; Housing. Properties serve as community gathering places anchored by essential services. Employee Retention (1/2): CEO Lisa Palmer's 10+ year tenure has cultivated a culture of transparency and respect, with the lean team of 503 employees managing a $13B+ portfolio indicating high trust and empowerment [3]. However, no specific employee engagement or retention metrics distinguish the company. Insider Buying (0/2): No evidence of meaningful net insider buying by executives in the last 12 months; prior periods showed significant insider selling.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strong results across most metrics despite structural REIT headwinds. D/E of 72.0% is near the 70% target (score 0.99) [4]. Revenue growth of 8.9% YoY approaches the 10% target (score 0.96), and 5-year revenue CAGR of approximately 7% reflects consistent growth including the Urstadt Biddle acquisition (score 0.80) [1]. Profit margin of 33.0% exceeds the 20% target (score 1.0). ROE of 8.2% is modest (score 0.55) — typical for equity-intensive REITs. Forward P/E of 28.98 is elevated (score 0.78), reflecting premium REIT valuation. REIT-required dividend payout ratio near 100% mechanically scores 0.0 — a structural penalty for all REITs under this framework. Dividend strengths compensate: 32 consecutive years of payments since 1994 (score 1.0, 2x weight), 5 consecutive years of growth since restoring post-COVID (score 0.50), and approximately 5% 5-year dividend growth CAGR (score 0.83, 2x weight) [4]. Liquidity floor cleared: 1.34M avg volume x $72.95 = $97.8M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Regency Centers plays a steady, disciplined game built on 63 years of consistent execution in grocery-anchored retail — the kind of durability Sinek values. CEO Lisa Palmer's emphasis on culture, transparency, and community connection aligns with infinite game values. The company's deliberate pivot toward essential, e-commerce-resistant retail demonstrates strategic foresight. However, the company lacks a true Just Cause beyond market leadership in shopping centers, and the fundamental business model has remained largely unchanged for decades.</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'To be the preeminent national owner, operator, and developer of high-quality, grocery-anchored shopping centers' is a market positioning statement, not a Just Cause [3]. It describes what the company wants to be (preeminent) and what it does (shopping centers), not a vision of a better future. The grocery-anchor focus does connect to genuine community needs — food access, essential services, neighborhood gathering — but this is articulated as a business model choice rather than a cause. Sixty-three years of execution demonstrates remarkable durability, and the Newsweek #1 Most Responsible ranking in Real Estate shows the company takes its role in communities seriously.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Lisa Palmer has cultivated a culture of transparency, honesty, and respect during her 10+ year tenure [3]. The lean team of 503 managing a $13B+ portfolio indicates high trust and empowerment — this ratio of assets under management per employee is among the highest in the REIT sector. Prior Glassdoor ratings of 4.3/5 for work-life balance confirm positive cultural signals internally. However, no specific employee engagement scores, turnover rates, or talent development initiatives distinguish Regency from industry norms.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Regency competes against Federal Realty, Kimco Realty, Brixmor, and Kite Realty in the open-air retail REIT space. The competitive dynamic has driven Regency to differentiate through grocery-anchor focus, tenant curation, and development capability rather than pure scale competition [1]. Achieving S&amp;P 500 membership demonstrates using rivalry to rise to sector leadership through quality rather than size.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Regency evolved from a general retail REIT to a focused grocery-anchored strategy, a deliberate narrowing that proved prescient through the e-commerce revolution and pandemic [1]. The company adapted to the 'retail apocalypse' narrative by doubling down on e-commerce-resistant tenants (grocery, medical, services) rather than diversifying into other real estate types. The Urstadt Biddle acquisition expanded geographic footprint. This represents strategic adaptation, though incremental rather than transformative — the company has operated fundamentally the same business for decades.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Lisa Palmer was appointed during the 2020 pandemic and chose to double down on grocery-anchored retail when the market was questioning all retail real estate, demonstrating conviction in the company's strategy [3]. The SBTi-endorsed net-zero by 2050 commitment shows willingness to make long-term environmental investments. The $600M+ development pipeline represents ongoing capital deployment in new properties at attractive yields. However, the stable-growth REIT model inherently avoids large strategic bets, and no bold moves to transform the business beyond incremental growth have been observed.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Regency Centers is a best-in-class grocery-anchored REIT with accelerating operational momentum — Q1 2026 delivered EPS of $0.68 (beating estimates by 9.5%), revenue of $425.8M (beating by 3.0%), same-property NOI growth of 4.4%, and leased occupancy approaching 97% [1][2]. The grocery-anchored model provides recession-resistant income from essential services that are structurally immune to both e-commerce and AI disruption, validated by 63 years of corporate history and Newsweek's #1 ranking in Real Estate for corporate responsibility. The 4.14% dividend yield with 32 consecutive years of payments provides reliable income for dividend-focused portfolios, and the Inspire score of 69 (ALIGNED) with zero negative attributions and 14 positive attributions makes Regency ideal for faith-based investors seeking real estate exposure [3]. The $600M+ development pipeline positions the company for continued NOI growth through high-return property creation.</w:t>
      </w:r>
    </w:p>
    <w:p>
      <w:pPr>
        <w:spacing w:after="120"/>
      </w:pPr>
      <w:r>
        <w:rPr>
          <w:rFonts w:ascii="Calibri" w:hAnsi="Calibri"/>
          <w:b w:val="0"/>
          <w:color w:val="3A4A28"/>
          <w:sz w:val="20"/>
        </w:rPr>
        <w:t>The bear case centers on valuation and structural REIT challenges. At 24.6x trailing P/E and 29.0x forward P/E, Regency is priced as a premium REIT with limited margin of safety if same-property NOI growth slows below the 3.25-3.75% guidance range [2]. The PEG ratio of 2.61 suggests the current price reflects full growth expectations. ROE of 8.2% is modest even for an equity REIT, and D/E of 72% creates interest rate sensitivity — rising rates increase borrowing costs and compress REIT valuations [4]. The GAAP payout ratio near 100% means the dividend essentially matches reported earnings (standard REIT accounting, as FFO-based coverage is healthier, but a mechanical scoring headwind). While grocery anchors are resilient, non-grocery tenants (25-30% of revenue from restaurants, services, specialty retail) remain vulnerable to consumer spending shifts. The stock's beta of 0.81 suggests defensive characteristics but limited upside in risk-on markets.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Same-property NOI growth of 3.25-3.75% and Core Operating Earnings growth of 4.5% at midpoint maintained as 2026 guidance, with Q1 results tracking above midpoint [2]</w:t>
      </w:r>
    </w:p>
    <w:p>
      <w:pPr>
        <w:spacing w:before="40" w:after="40"/>
        <w:ind w:left="283"/>
      </w:pPr>
      <w:r>
        <w:rPr>
          <w:rFonts w:ascii="Calibri" w:hAnsi="Calibri"/>
          <w:b/>
          <w:color w:val="4A6B25"/>
          <w:sz w:val="20"/>
        </w:rPr>
        <w:t xml:space="preserve">2. </w:t>
      </w:r>
      <w:r>
        <w:rPr>
          <w:rFonts w:ascii="Calibri" w:hAnsi="Calibri"/>
          <w:b w:val="0"/>
          <w:color w:val="3A4A28"/>
          <w:sz w:val="20"/>
        </w:rPr>
        <w:t>Grocery-anchored model benefiting from secular shift toward necessity-based, e-commerce-resistant retail as consumers prioritize in-person food shopping, medical visits, and personal services [1]</w:t>
      </w:r>
    </w:p>
    <w:p>
      <w:pPr>
        <w:spacing w:before="40" w:after="40"/>
        <w:ind w:left="283"/>
      </w:pPr>
      <w:r>
        <w:rPr>
          <w:rFonts w:ascii="Calibri" w:hAnsi="Calibri"/>
          <w:b/>
          <w:color w:val="4A6B25"/>
          <w:sz w:val="20"/>
        </w:rPr>
        <w:t xml:space="preserve">3. </w:t>
      </w:r>
      <w:r>
        <w:rPr>
          <w:rFonts w:ascii="Calibri" w:hAnsi="Calibri"/>
          <w:b w:val="0"/>
          <w:color w:val="3A4A28"/>
          <w:sz w:val="20"/>
        </w:rPr>
        <w:t>Leased occupancy approaching 97% with $600M+ development pipeline creating new shareholder value through ground-up development at attractive yields on cost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valuation — 24.6x trailing P/E and 29.0x forward P/E with PEG of 2.61 leave limited margin of safety if NOI growth disappoints or interest rates rise, compressing REIT multiples [4]</w:t>
      </w:r>
    </w:p>
    <w:p>
      <w:pPr>
        <w:spacing w:before="40" w:after="40"/>
        <w:ind w:left="283"/>
      </w:pPr>
      <w:r>
        <w:rPr>
          <w:rFonts w:ascii="Calibri" w:hAnsi="Calibri"/>
          <w:b/>
          <w:color w:val="4A6B25"/>
          <w:sz w:val="20"/>
        </w:rPr>
        <w:t xml:space="preserve">2. </w:t>
      </w:r>
      <w:r>
        <w:rPr>
          <w:rFonts w:ascii="Calibri" w:hAnsi="Calibri"/>
          <w:b w:val="0"/>
          <w:color w:val="3A4A28"/>
          <w:sz w:val="20"/>
        </w:rPr>
        <w:t>Interest rate sensitivity — D/E of 72% means rising rates increase borrowing costs and compress the premium multiple, while 100% payout ratio leaves no retained earnings cushion [4]</w:t>
      </w:r>
    </w:p>
    <w:p>
      <w:pPr>
        <w:spacing w:before="40" w:after="40"/>
        <w:ind w:left="283"/>
      </w:pPr>
      <w:r>
        <w:rPr>
          <w:rFonts w:ascii="Calibri" w:hAnsi="Calibri"/>
          <w:b/>
          <w:color w:val="4A6B25"/>
          <w:sz w:val="20"/>
        </w:rPr>
        <w:t xml:space="preserve">3. </w:t>
      </w:r>
      <w:r>
        <w:rPr>
          <w:rFonts w:ascii="Calibri" w:hAnsi="Calibri"/>
          <w:b w:val="0"/>
          <w:color w:val="3A4A28"/>
          <w:sz w:val="20"/>
        </w:rPr>
        <w:t>Concentration in open-air retail — while grocery-anchored tenants are resilient, non-grocery tenants face consumer spending vulnerability in an economic downturn, and AI-powered delivery platforms could gradually reduce grocery store foot traffic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Grocery-anchored shopping centers are among the most AI-immune real estate assets. Grocery shopping, dining, medical offices, fitness centers, and personal services (haircuts, nail salons) are inherently physical experiences that AI and e-commerce cannot replicate [1]. Regency's tenant mix is specifically curated to resist e-commerce disruption — a strategy validated by the sector's outperformance through the e-commerce revolution and pandemic. Physical real estate in high-quality suburban locations with compelling demographics is structurally irreplaceable. AI demand for infrastructure may indirectly support commercial real estate values in tech corridors where Regency operates. The only material AI risk is that AI-powered delivery platforms could gradually reduce grocery store foot traffic, though this trend has been slow to materialize. AI Opportunity (0/1): Regency does not generate revenue from AI-related products or services. AI could modestly improve property management, tenant analytics, and site selection, but no meaningful AI revenue contribution has been identified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Regency Centers Q4/FY2025 Results — $1.61B revenue (up 7.2%), $513.8M earnings (up 32.9%), same-property NOI growth, investors.regencycenters.com, February 2026</w:t>
      </w:r>
    </w:p>
    <w:p>
      <w:pPr>
        <w:spacing w:before="20" w:after="20"/>
        <w:ind w:left="170"/>
      </w:pPr>
      <w:r>
        <w:rPr>
          <w:rFonts w:ascii="Calibri" w:hAnsi="Calibri"/>
          <w:b/>
          <w:color w:val="4A6B25"/>
          <w:sz w:val="15"/>
        </w:rPr>
        <w:t xml:space="preserve">2. </w:t>
      </w:r>
      <w:r>
        <w:rPr>
          <w:rFonts w:ascii="Calibri" w:hAnsi="Calibri"/>
          <w:b w:val="0"/>
          <w:color w:val="3A4A28"/>
          <w:sz w:val="17"/>
        </w:rPr>
        <w:t>Regency Centers Q1 2026 Results — EPS $0.68 (beat 9.5%), revenue $425.8M (beat 3.0%), Same-Property NOI +4.4%, full-year 2026 guidance maintained, Investing.com, April 2026</w:t>
      </w:r>
    </w:p>
    <w:p>
      <w:pPr>
        <w:spacing w:before="20" w:after="20"/>
        <w:ind w:left="170"/>
      </w:pPr>
      <w:r>
        <w:rPr>
          <w:rFonts w:ascii="Calibri" w:hAnsi="Calibri"/>
          <w:b/>
          <w:color w:val="4A6B25"/>
          <w:sz w:val="15"/>
        </w:rPr>
        <w:t xml:space="preserve">3. </w:t>
      </w:r>
      <w:r>
        <w:rPr>
          <w:rFonts w:ascii="Calibri" w:hAnsi="Calibri"/>
          <w:b w:val="0"/>
          <w:color w:val="3A4A28"/>
          <w:sz w:val="17"/>
        </w:rPr>
        <w:t>Regency Centers Corporate Responsibility and ESG — Newsweek #1 Most Responsible in Real Estate, SBTi net-zero by 2050, AI panel discussions, regencycenters.com,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Yahoo Finance — REG Key Statistics, P/E 24.56, Forward P/E 28.98, PEG 2.61, D/E 72%, ROE 8.2%,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