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REI</w:t>
      </w:r>
      <w:r>
        <w:rPr>
          <w:rFonts w:ascii="Calibri" w:hAnsi="Calibri"/>
          <w:b/>
          <w:color w:val="1A2010"/>
          <w:sz w:val="40"/>
        </w:rPr>
        <w:t xml:space="preserve">  Ring Energy, Inc.</w:t>
      </w:r>
    </w:p>
    <w:p>
      <w:pPr>
        <w:spacing w:after="120"/>
      </w:pPr>
      <w:r>
        <w:rPr>
          <w:rFonts w:ascii="Calibri" w:hAnsi="Calibri"/>
          <w:b/>
          <w:color w:val="6E8450"/>
          <w:sz w:val="18"/>
        </w:rPr>
        <w:t>GROWTH SLEEVE · 2026-08-30 · Inspire: 56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American · United States</w:t>
      </w:r>
    </w:p>
    <w:p>
      <w:pPr>
        <w:spacing w:after="80"/>
      </w:pPr>
      <w:r>
        <w:rPr>
          <w:rFonts w:ascii="Calibri" w:hAnsi="Calibri"/>
          <w:b w:val="0"/>
          <w:color w:val="3A4A28"/>
          <w:sz w:val="20"/>
        </w:rPr>
        <w:t>Ring Energy is an independent oil and natural gas company operating primarily on the Northwest Shelf and Central Basin Platform in the Permian Basin of West Texas and New Mexico. The company produced 19,990 Boe/d in Q2 2026, with oil comprising approximately 63% of production. Ring completed the Stronghold Oil &amp; Gas acquisition in 2022, significantly expanding its acreage position to approximately 83,550 net developed acres. Market cap is approximately $373M with revolving credit borrowings of $360M and a leverage ratio of 2.02x.</w:t>
      </w:r>
    </w:p>
    <w:p>
      <w:r>
        <w:rPr>
          <w:rFonts w:ascii="Calibri" w:hAnsi="Calibri"/>
          <w:b/>
          <w:color w:val="6E8450"/>
          <w:sz w:val="18"/>
        </w:rPr>
        <w:t>150 Employees · https://www.ringenergy.com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Ring Energy completed the $155M Stronghold Oil &amp; Gas acquisition in August 2022, adding ~60,000 net acres and roughly doubling production, plus the smaller Founders Oil &amp; Gas and Lime Rock bolt-ons — all incremental Permian Basin acreage extensions within the same conventional E&amp;P business model rather than transformative pivots [1]. No new product lines, technology platforms, or business model innovations in the past five years. AI Deployment (0/2): No evidence of AI-powered products, services, or quantified internal AI-driven efficiency gains. Ring's operations remain conventional E&amp;P with standard directional drilling and completion techniques. Market Share (0/2): Ring Energy is a micro-cap E&amp;P producing ~20,000 Boe/d in the Permian Basin, where operators like Diamondback Energy and Permian Resources produce orders of magnitude more [3]. The company is a commodity participant with no differentiated market position. Product Pipeline (1/2): Management has guided for 10-14 wells exceeding 1.5 miles in lateral length for H2 2026 and 20-30 wells for 2027, with ~10% production growth expected on ~10% less capital — specific operational targets with timeline visibility, though these are standard E&amp;P drilling programs [1]. R&amp;D Intensity (0/1): Oil and gas E&amp;P companies do not invest in R&amp;D in the traditional sense; Ring's capex goes entirely to drilling and completions.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Ring Energy's stated purpose centers on 'creating long-term value for stockholders' and positioning the company as a 'dynamic force' in the Permian Basin — generic shareholder value language interchangeable with any small-cap E&amp;P company [5]. CEO Paul McKinney has emphasized operational execution and debt reduction but has not articulated a distinctive purpose beyond financial returns. Community &amp; Charitable Impact (0/2): Ring established an ESG Task Force covering Health, Safety &amp; Environmental practices and published a sustainability report citing 59% Scope 1 GHG reduction, but no specific charitable programs, foundation, or quantified community investment were identified in public disclosures [5]. Employee Retention (0/2): No publicly available data on employee turnover, average tenure, or retention metrics. The company has approximately 150 employees but does not disclose workforce stability data. Insider Buying (2/2): Meaningful net insider buying in June 2026 — CEO Paul McKinney purchased 50,000 shares ($59,500) and CFO Sundip Johl purchased 231,000 shares ($277,200) at a weighted average of $1.21 per share, a strong vote of confidence from the two most senior executives during a period of depressed oil prices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Ring Energy's D/E of 48.28% is well below the 70% target, reflecting successful debt reduction — the company paid down $66M in Q2 2026 alone, reducing the leverage ratio from 2.42x to 2.02x [1][2]. Forward P/E of 5.54 is deeply discounted versus the 20x target, reflecting either deep value or market skepticism about sustained oil prices. However, TTM profitability is severely distorted by a $162.1M ceiling test impairment in Q1 2026, producing TTM profit margin of -71.44% and ROE of -26.68%, both scoring 0 in the mechanical calculation [2][3]. Adjusted for the non-cash impairment, H1 2026 adjusted net income was $31.4M on ~$178M revenue (~17.6% adjusted margin). Q2 2026 revenue of $104.7M grew 27% YoY as production ramped and oil prices recovered [1]. The stock clears the liquidity floor with daily trading value of ~$6.9M.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Ring Energy is a classic finite-game player — the company's strategic language revolves entirely around shareholder value creation, debt reduction, and operational efficiency metrics. CEO McKinney's focus on 'positioning Ring as a dynamic force' and 'creating long-term value for stockholders' is financial optimization language, not a Just Cause. The company executes a standard Permian Basin E&amp;P playbook: acquire acreage, drill wells, reduce debt. There is no evidence of a deeper purpose, transformative flexibility, or infinite-minded competitive posture.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Ring Energy exists to extract oil and gas and return value to shareholders. CEO McKinney's strategic vision centers on 'creating long-term value for stockholders' through operational efficiency and debt reduction — purely financial objectives with no articulated vision of a better future or purpose beyond profit [5]. The company's website and public materials contain no mission or purpose statement that would qualify as a Just Cause under Sinek's framework. This is a finite player by definition.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Ring Energy maintains a small, stable organization of approximately 150 employees under CEO McKinney's leadership since October 2020. The leadership team has been consistent, with McKinney bringing 41 years of industry experience, and CFO Johl providing financial discipline [5]. Insider buying by both the CEO and CFO signals alignment between leadership and shareholders. However, no specific evidence of employee empowerment, cultural practices, or workforce sentiment data is available to assess organizational trust beyond basic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Ring Energy's competitive positioning is defined by its Permian Basin acreage position and cost structure rather than any articulated learning relationship with competitors. Management commentary focuses on operational execution metrics — cost per Boe, drilling efficiency, and production targets — without referencing competitors as sources of learning or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Ring Energy has not demonstrated any transformative strategic pivot. The company has been a Permian Basin E&amp;P operator since its founding and has grown exclusively through bolt-on acquisitions within the same basin and the same business model [5]. The Stronghold acquisition expanded acreage but did not redefine the company. Ring's strategy is to drill more wells in the same formations — the definition of linear extension rather than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Ring Energy has demonstrated financial discipline under McKinney, continuing to invest in drilling programs and maintain production guidance through volatile oil prices while simultaneously paying down $66M in Q2 2026 debt — prioritizing balance sheet strength over aggressive growth [1]. The guidance for 2027 production growth of ~10% on ~10% less capital shows capital efficiency focus. However, these are prudent financial decisions rather than courageous long-term bets that sacrifice near-term results for a higher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Ring Energy at 5.54x forward earnings is a deep-value micro-cap E&amp;P with improving operational momentum — Q2 2026 revenue of $104.7M surged 27% YoY as production reached 19,990 Boe/d and oil prices recovered, driving $64.8M in net income ($0.27/share) and $54.5M in adjusted EBITDA (+42% sequentially) [1]. The company paid down $66M in revolving credit debt during Q2, reducing leverage from 2.42x to 2.02x, with total liquidity of $226.1M providing a cushion against oil price volatility. D/E of 48.28% is conservative for an E&amp;P, and the forward valuation implies the market prices in significant commodity downside [3]. Management's 2027 guidance of ~10% production growth on ~10% less capital spending signals improving capital efficiency as longer lateral wells (&gt;1.5 miles) reduce per-unit costs [1]. Insider buying by both CEO McKinney ($59.5K) and CFO Johl ($277.2K) in June 2026 provides additional conviction at depressed levels [4].</w:t>
      </w:r>
    </w:p>
    <w:p>
      <w:pPr>
        <w:spacing w:after="120"/>
      </w:pPr>
      <w:r>
        <w:rPr>
          <w:rFonts w:ascii="Calibri" w:hAnsi="Calibri"/>
          <w:b w:val="0"/>
          <w:color w:val="3A4A28"/>
          <w:sz w:val="20"/>
        </w:rPr>
        <w:t>The bear case centers on commodity dependence, impairment risk, and scale disadvantages. Ring Energy's $162.1M ceiling test impairment in Q1 2026 wiped out all prior-year earnings and produced a TTM net loss of $220.6M, demonstrating the company's extreme sensitivity to oil price movements — at sub-$70 WTI, Ring's proved reserves face further write-downs [2]. TTM revenue of $308M is down 3.2% year-over-year despite the Q2 recovery, and adjusted free cash flow of just $4.6M in H1 2026 (down 85% YoY) shows minimal cash generation after capex. The $360M in revolving credit borrowings require continued compliance with a 3.0x leverage covenant, leaving limited margin during prolonged commodity downturns [2]. At ~20,000 Boe/d, Ring is a micro-cap competing against Permian operators with vastly greater scale advantages in drilling costs, midstream access, and capital markets access. The Inspire Impact Score of 56 (ALIGNED) is a positive differentiator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H2 2026 production ramp to 13,000-13,950 Bo/d oil guidance (vs. 12,683 Bo/d in Q2) driven by longer lateral wells exceeding 1.5 miles, with 2027 production growth of ~10% on ~10% less capital — improving capital efficiency could unlock sustained free cash flow generation [1]</w:t>
      </w:r>
    </w:p>
    <w:p>
      <w:pPr>
        <w:spacing w:before="40" w:after="40"/>
        <w:ind w:left="283"/>
      </w:pPr>
      <w:r>
        <w:rPr>
          <w:rFonts w:ascii="Calibri" w:hAnsi="Calibri"/>
          <w:b/>
          <w:color w:val="4A6B25"/>
          <w:sz w:val="20"/>
        </w:rPr>
        <w:t xml:space="preserve">2. </w:t>
      </w:r>
      <w:r>
        <w:rPr>
          <w:rFonts w:ascii="Calibri" w:hAnsi="Calibri"/>
          <w:b w:val="0"/>
          <w:color w:val="3A4A28"/>
          <w:sz w:val="20"/>
        </w:rPr>
        <w:t>Accelerating debt reduction with $66M paid down in Q2 2026 alone, targeting leverage ratio below 2.0x, which could unlock shareholder return mechanisms (dividend initiation, buybacks) if commodity prices cooperate [1]</w:t>
      </w:r>
    </w:p>
    <w:p>
      <w:pPr>
        <w:spacing w:before="40" w:after="40"/>
        <w:ind w:left="283"/>
      </w:pPr>
      <w:r>
        <w:rPr>
          <w:rFonts w:ascii="Calibri" w:hAnsi="Calibri"/>
          <w:b/>
          <w:color w:val="4A6B25"/>
          <w:sz w:val="20"/>
        </w:rPr>
        <w:t xml:space="preserve">3. </w:t>
      </w:r>
      <w:r>
        <w:rPr>
          <w:rFonts w:ascii="Calibri" w:hAnsi="Calibri"/>
          <w:b w:val="0"/>
          <w:color w:val="3A4A28"/>
          <w:sz w:val="20"/>
        </w:rPr>
        <w:t>Deep value re-rating potential from 5.54x forward P/E — if WTI oil prices stabilize above $75 and Ring delivers on 2027 production guidance, the stock could re-rate toward small-cap E&amp;P peer multiples of 8-12x forward earnings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exposure with the $162.1M ceiling test impairment in Q1 2026 demonstrating that sub-$65 WTI oil prices trigger material reserve write-downs and GAAP losses that erode equity value, with the leverage covenant at 3.0x leaving limited headroom during downturns [2]</w:t>
      </w:r>
    </w:p>
    <w:p>
      <w:pPr>
        <w:spacing w:before="40" w:after="40"/>
        <w:ind w:left="283"/>
      </w:pPr>
      <w:r>
        <w:rPr>
          <w:rFonts w:ascii="Calibri" w:hAnsi="Calibri"/>
          <w:b/>
          <w:color w:val="4A6B25"/>
          <w:sz w:val="20"/>
        </w:rPr>
        <w:t xml:space="preserve">2. </w:t>
      </w:r>
      <w:r>
        <w:rPr>
          <w:rFonts w:ascii="Calibri" w:hAnsi="Calibri"/>
          <w:b w:val="0"/>
          <w:color w:val="3A4A28"/>
          <w:sz w:val="20"/>
        </w:rPr>
        <w:t>Micro-cap scale disadvantage in the Permian Basin where operators like Diamondback Energy and Permian Resources achieve meaningfully lower per-unit drilling and midstream costs, limiting Ring's ability to generate competitive returns on capital [3]</w:t>
      </w:r>
    </w:p>
    <w:p>
      <w:pPr>
        <w:spacing w:before="40" w:after="40"/>
        <w:ind w:left="283"/>
      </w:pPr>
      <w:r>
        <w:rPr>
          <w:rFonts w:ascii="Calibri" w:hAnsi="Calibri"/>
          <w:b/>
          <w:color w:val="4A6B25"/>
          <w:sz w:val="20"/>
        </w:rPr>
        <w:t xml:space="preserve">3. </w:t>
      </w:r>
      <w:r>
        <w:rPr>
          <w:rFonts w:ascii="Calibri" w:hAnsi="Calibri"/>
          <w:b w:val="0"/>
          <w:color w:val="3A4A28"/>
          <w:sz w:val="20"/>
        </w:rPr>
        <w:t>Minimal free cash flow generation — adjusted FCF of only $4.6M in H1 2026 (down 85% YoY) means the company cannot fund both growth capex and debt reduction without commodity price cooperation, creating a potential liquidity squeeze if oil prices decline through H2 2026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Ring Energy's core business — drilling for, extracting, and selling crude oil and natural gas from Permian Basin reservoirs — is fundamentally physical-world operations that AI structurally cannot displace [1]. Oil and gas E&amp;P requires subsurface geology expertise, physical drilling rigs, completion equipment, and pipeline infrastructure. AI tools may incrementally improve drilling efficiency (seismic interpretation, wellbore placement optimization) but cannot substitute for the physical extraction process. Ring's revenue is entirely a function of commodity prices and production volumes, both insulated from AI disruption. The slight deduction from 9 reflects that AI-enhanced E&amp;P competitors could gain cost advantages, potentially widening efficiency gaps for smaller operators that lag in technology adoption. AI Opportunity (0/1): Ring Energy does not generate any revenue from AI products or services and has not disclosed any AI-driven cost savings or quantified efficiency programs.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Ring Energy Q2 2026 Earnings Release — Revenue $104.7M (+27% YoY), Net Income $64.8M, Adjusted EBITDA $54.5M (+42% QoQ), Production 19,990 Boe/d, Debt Paydown $66M, August 2026</w:t>
      </w:r>
    </w:p>
    <w:p>
      <w:pPr>
        <w:spacing w:before="20" w:after="20"/>
        <w:ind w:left="170"/>
      </w:pPr>
      <w:r>
        <w:rPr>
          <w:rFonts w:ascii="Calibri" w:hAnsi="Calibri"/>
          <w:b/>
          <w:color w:val="4A6B25"/>
          <w:sz w:val="15"/>
        </w:rPr>
        <w:t xml:space="preserve">2. </w:t>
      </w:r>
      <w:r>
        <w:rPr>
          <w:rFonts w:ascii="Calibri" w:hAnsi="Calibri"/>
          <w:b w:val="0"/>
          <w:color w:val="3A4A28"/>
          <w:sz w:val="17"/>
        </w:rPr>
        <w:t>Ring Energy Q1 2026 Earnings Release — Revenue $73.7M, Net Loss $220.6M (incl. $162.1M Ceiling Test Impairment), Adjusted Net Income $7.4M, Leverage 2.42x, May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REI Key Statistics: Forward P/E 5.54, D/E 48.28%, ROE -26.68%, Market Cap $373M, Avg Volume 4.83M, Stock Price $1.43,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Ring Energy Insider Trading — CEO McKinney bought 50K shares ($59.5K), CFO Johl bought 231K shares ($277.2K), SEC Form 4, June 2026</w:t>
      </w:r>
    </w:p>
    <w:p>
      <w:pPr>
        <w:spacing w:before="20" w:after="20"/>
        <w:ind w:left="170"/>
      </w:pPr>
      <w:r>
        <w:rPr>
          <w:rFonts w:ascii="Calibri" w:hAnsi="Calibri"/>
          <w:b/>
          <w:color w:val="4A6B25"/>
          <w:sz w:val="15"/>
        </w:rPr>
        <w:t xml:space="preserve">5. </w:t>
      </w:r>
      <w:r>
        <w:rPr>
          <w:rFonts w:ascii="Calibri" w:hAnsi="Calibri"/>
          <w:b w:val="0"/>
          <w:color w:val="3A4A28"/>
          <w:sz w:val="17"/>
        </w:rPr>
        <w:t>Ring Energy Corporate Website — Management Team, ESG Task Force, Company Overview,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