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RELX</w:t>
      </w:r>
      <w:r>
        <w:rPr>
          <w:rFonts w:ascii="Calibri" w:hAnsi="Calibri"/>
          <w:b/>
          <w:color w:val="1A2010"/>
          <w:sz w:val="40"/>
        </w:rPr>
        <w:t xml:space="preserve">  RELX PLC</w:t>
      </w:r>
    </w:p>
    <w:p>
      <w:pPr>
        <w:spacing w:after="120"/>
      </w:pPr>
      <w:r>
        <w:rPr>
          <w:rFonts w:ascii="Calibri" w:hAnsi="Calibri"/>
          <w:b/>
          <w:color w:val="6E8450"/>
          <w:sz w:val="18"/>
        </w:rPr>
        <w:t>DIVIDEND SLEEVE · 2026-08-30 · Inspire: 0 · INFINITE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72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Information Services · NYSE · United Kingdom</w:t>
      </w:r>
    </w:p>
    <w:p>
      <w:pPr>
        <w:spacing w:after="80"/>
      </w:pPr>
      <w:r>
        <w:rPr>
          <w:rFonts w:ascii="Calibri" w:hAnsi="Calibri"/>
          <w:b w:val="0"/>
          <w:color w:val="3A4A28"/>
          <w:sz w:val="20"/>
        </w:rPr>
        <w:t>RELX PLC is a global provider of information-based analytics and decision tools, serving professional and business customers across four segments: Risk (insurance analytics, identity verification), Scientific, Technical &amp; Medical (Elsevier academic publishing, ScienceDirect), Legal (LexisNexis legal research, Lexis+ AI), and Exhibitions (trade shows). Under CEO Erik Engstrom since 2009, RELX transformed from print publisher Reed Elsevier into a digital analytics powerhouse, reducing print revenue from 27% to below 5%. H1 2026 underlying revenue grew 7% with adjusted operating profit up 9%. Market cap is approximately $63B.</w:t>
      </w:r>
    </w:p>
    <w:p>
      <w:r>
        <w:rPr>
          <w:rFonts w:ascii="Calibri" w:hAnsi="Calibri"/>
          <w:b/>
          <w:color w:val="6E8450"/>
          <w:sz w:val="18"/>
        </w:rPr>
        <w:t>37,600 Employees · https://www.relx.com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(3/3): RELX executed one of the most successful corporate transformations of the past two decades — under CEO Erik Engstrom (since 2009), the company pivoted from print publisher Reed Elsevier to a digital analytics platform, reducing print revenues from 27% to below 5% while shareholder returns exceeded 1,000% [1][2]. This is a multi-year, multi-segment transformation that fundamentally redefined the company's business model, competitive positioning, and margin profile. Each business segment was systematically rebuilt around proprietary data assets and analytics capabilities. AI Deployment (2/2): RELX has deployed AI at scale across all four business segments — Lexis+ AI for legal professionals, ScienceDirect AI for researchers, AI-powered risk scoring and identity verification tools, and agentic AI capabilities in development [2][3]. The company has been using extractive AI for over a decade and has rapidly deployed generative AI across its product suite, with H1 2026 results showing AI-enabled products gaining meaningful customer traction. Market Share (2/2): RELX holds dominant or co-leading positions in multiple categories — Elsevier is the world's largest scientific publisher, LexisNexis is a co-leader in legal information (with Thomson Reuters), and the Risk segment leads in insurance analytics and identity verification [1]. These positions are defended by proprietary data sets, regulatory requirements, and deep customer workflow integration. Product Pipeline (1/2): AI-powered tools are expanding across all segments with visible momentum, though public messaging has been characterized as 'less specific on product-level AI roadmaps, timelines, and model risk controls' by analysts [3]. Capex of ~6% of revenue signals continued investment. R&amp;D Intensity (1/1): Capital spending at approximately 6% of revenue ($770M+) is above the information services industry average and reflects sustained investment in analytics platforms and AI capabilities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RELX's purpose — 'combining content and data with analytics and technology to advance science, protect communities, and enable commerce' — is specific, thoughtful, and connects the company's work to measurable social outcomes [4]. Advancing science (Elsevier research), protecting communities (Risk segment identity fraud prevention), and enabling commerce (Exhibitions) are not boilerplate — they reflect genuine intentionality about how the company's products serve society. The purpose has been validated by 17 years of consistent strategic execution under Engstrom. Community &amp; Charitable Impact (0/2): No evidence of distinctive charitable programs or quantified community investment identified in public disclosures beyond standard ESG reporting. RELX has an ESG committee at the board level but no standout foundation or community initiatives [5]. Employee Retention (1/2): 80% of RELX employees would recommend working there to a friend on Glassdoor, with ratings of 4.1/5 for work-life balance and 3.9/5 for culture and values, suggesting above-average satisfaction [3]. However, the CEO is described as 'very distant' and career opportunity ratings are lower at 3.6/5, preventing a full score. Insider Buying (0/2): CEO Erik Engstrom recently sold shares worth approximately GBP 2.5M, reducing his holding by 7.8%. Insiders sold more shares than they bought over the past year — net insider selling signals no near-term conviction through personal investment [3].</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RELX demonstrates exceptional return on equity of 131.86% (amplified by thin book equity from decades of acquisitions and buybacks, similar to Apple's dynamic) and strong profit margin of 23.27%, both exceeding targets [1]. Forward P/E of 17.91 is below the 20x target, offering reasonable valuation for a high-quality compounder. Revenue grew 7% underlying in H1 2026 with adjusted operating margin expanding 70bps to 35.5% [1]. The primary drag is D/E of 710% (total debt $11.82B against thin book equity of ~$1.66B), which scores 0 mechanically — though this overstates financial risk since net debt/EBITDA is a comfortable 2.0x and free cash flow of $3.87B easily covers the $1.59B annual dividend and $2.25B planned 2026 buyback [1][4]. Dividend yield of 2.50% with a 55.16% payout ratio, 18 consecutive years of payment, 3 consecutive years of growth, and strong 5-year dividend growth CAGR further strengthen the score. Liquidity floor cleared easily at ~$77M daily trading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16A34A"/>
          <w:sz w:val="22"/>
        </w:rPr>
        <w:t>INFINITE</w:t>
      </w:r>
      <w:r>
        <w:rPr>
          <w:rFonts w:ascii="Calibri" w:hAnsi="Calibri"/>
          <w:b w:val="0"/>
          <w:color w:val="6E8450"/>
          <w:sz w:val="22"/>
        </w:rPr>
        <w:t xml:space="preserve">      Overall: </w:t>
      </w:r>
      <w:r>
        <w:rPr>
          <w:rFonts w:ascii="Calibri" w:hAnsi="Calibri"/>
          <w:b/>
          <w:color w:val="16A34A"/>
          <w:sz w:val="28"/>
        </w:rPr>
        <w:t>8</w:t>
      </w:r>
      <w:r>
        <w:rPr>
          <w:rFonts w:ascii="Calibri" w:hAnsi="Calibri"/>
          <w:b w:val="0"/>
          <w:color w:val="9DAF88"/>
          <w:sz w:val="18"/>
        </w:rPr>
        <w:t xml:space="preserve"> /10</w:t>
      </w:r>
    </w:p>
    <w:p>
      <w:pPr>
        <w:spacing w:after="120"/>
      </w:pPr>
      <w:r>
        <w:rPr>
          <w:rFonts w:ascii="Calibri" w:hAnsi="Calibri"/>
          <w:b w:val="0"/>
          <w:color w:val="3A4A28"/>
          <w:sz w:val="18"/>
        </w:rPr>
        <w:t>RELX is a strong infinite-game player — the company's 17-year transformation from print publisher to digital analytics platform under CEO Erik Engstrom is one of the most successful corporate reinventions of the 21st century. The purpose of advancing science, protecting communities, and enabling commerce has been consistently lived through strategic decisions that sacrificed legacy print revenue for long-term digital capability. The company's current AI deployment strategy reflects the same long-term orientation — building on proprietary data moats rather than chasing short-term trends. The primary limitation is Engstrom's long tenure (17 years) without a clear succession plan, introducing eventual transition risk.</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RELX's purpose — advancing science, protecting communities, and enabling commerce — is genuine, distinctive, and has been validated by 17 years of consistent strategic execution [4]. The pivot from print publishing to analytics was driven by the cause (making information more useful for professionals) rather than desperation. Elsevier's scientific publishing advances research; LexisNexis protects legal professionals; Risk analytics prevent fraud and protect communities. However, RELX's academic publishing practices (high subscription prices, access restrictions) have drawn criticism from the open-science movement, suggesting the cause is not fully lived when it conflicts with margins.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RELX maintains a stable 37,600-person workforce with above-average employee satisfaction — 80% of employees would recommend working at RELX on Glassdoor, with 4.1/5 work-life balance and 3.9/5 culture ratings [3]. Leadership continuity under Engstrom provides organizational stability. However, the CEO is described as 'very distant' from employees, and career opportunity ratings of 3.6/5 suggest limited empowerment and growth pathways that would indicate a high-trust environment.</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RELX competes with Thomson Reuters, Wolters Kluwer, and Verisk in overlapping segments, and the company's competitive posture focuses on improving its own analytics capabilities and customer value rather than market share warfare. The decision to invest in AI-powered tools (Lexis+ AI) reflects competitive awareness — responding to the broader AI movement and emerging competitors — while maintaining focus on proprietary data advantages and customer workflow integration [2]. This is a learning-oriented competitive mindset.</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The transformation from Reed Elsevier (a conglomerate print publisher) to RELX (a digital analytics and AI platform company) is a textbook existential pivot [2]. Engstrom systematically dismantled the print business — shrinking it from 27% to below 5% of revenue — while building digital analytics capabilities across all four segments. This required abandoning profitable print operations, restructuring the workforce, and investing billions in technology platforms over a decade. The transformation was driven by the cause (making information more useful) rather than crisis, making it one of the strongest examples of existential flexibility in corporate history.</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Engstrom's 17-year tenure demonstrates a pattern of courageous long-term decisions. Dismantling a profitable print business over a decade required sustained conviction against short-term earnings pressure [2]. The current GBP 2.25B share buyback program (GBP 1.75B already completed in 2026) combined with continued technology investment at 6% of revenue shows willingness to simultaneously return capital and invest for the future. The decision to deploy AI across all segments — including areas where AI could cannibalize existing products (like traditional legal research) — shows willingness to disrupt oneself rather than be disrupted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RELX at 17.91x forward earnings is a high-quality compounder delivering consistent mid-single-digit organic growth with expanding margins — H1 2026 underlying revenue grew 7% with adjusted operating profit up 9% and margins expanding 70bps to a record 35.5% [1]. The company generates $3.87B in annual free cash flow (6.1% FCF yield), funding both a $1.59B annual dividend (2.50% yield) and GBP 2.25B in 2026 share buybacks while maintaining net debt/EBITDA at a comfortable 2.0x. ROE of 131.86% and profit margin of 23.27% reflect best-in-class capital efficiency among information services companies [4]. RELX's AI strategy is uniquely positioned — rather than competing to build foundation models, the company layers AI on top of irreplaceable proprietary data assets (Elsevier's scientific corpus, LexisNexis legal databases, 78B+ identity records), creating AI-powered products that deepen customer lock-in and expand addressable markets [2].</w:t>
      </w:r>
    </w:p>
    <w:p>
      <w:pPr>
        <w:spacing w:after="120"/>
      </w:pPr>
      <w:r>
        <w:rPr>
          <w:rFonts w:ascii="Calibri" w:hAnsi="Calibri"/>
          <w:b w:val="0"/>
          <w:color w:val="3A4A28"/>
          <w:sz w:val="20"/>
        </w:rPr>
        <w:t>The bear case centers on valuation premium versus growth rate, succession risk, and AI competitive dynamics. At 17.91x forward earnings, RELX trades at a significant premium to its 7% underlying revenue growth — the PEG ratio of 1.39 suggests the market prices in sustained margin expansion and share count reduction, leaving limited room for deceleration [4]. CEO Erik Engstrom has led the company for 17 years with exceptional results, but no succession plan has been publicly discussed, and his described 'very distant' leadership style raises questions about whether the institutional culture can survive a transition [3]. The D/E of 710% (mechanically driven by thin book equity from acquisitions) overstates risk but highlights that the balance sheet is leveraged with $11.82B in total debt. In AI, RELX faces a two-sided competitive threat: generative AI tools could partially displace traditional legal and research workflows, while open-access publishing models threaten Elsevier's subscription revenues [3]. The 52-week stock price decline of 23.67% from $48.40 suggests the market has partially repriced these risks. The Inspire Impact Score of 0 (MIXED) is neutral for faith-based investors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AI-powered product suite (Lexis+ AI, ScienceDirect AI, Risk analytics) gaining customer traction across all four segments, driving operating margin expansion toward 37%+ as AI reduces content acquisition costs and increases customer willingness-to-pay for enhanced analytics [1][2]</w:t>
      </w:r>
    </w:p>
    <w:p>
      <w:pPr>
        <w:spacing w:before="40" w:after="40"/>
        <w:ind w:left="283"/>
      </w:pPr>
      <w:r>
        <w:rPr>
          <w:rFonts w:ascii="Calibri" w:hAnsi="Calibri"/>
          <w:b/>
          <w:color w:val="4A6B25"/>
          <w:sz w:val="20"/>
        </w:rPr>
        <w:t xml:space="preserve">2. </w:t>
      </w:r>
      <w:r>
        <w:rPr>
          <w:rFonts w:ascii="Calibri" w:hAnsi="Calibri"/>
          <w:b w:val="0"/>
          <w:color w:val="3A4A28"/>
          <w:sz w:val="20"/>
        </w:rPr>
        <w:t>GBP 2.25B 2026 share buyback program (GBP 1.75B already completed) reducing share count by ~2.6% annually, compounding EPS growth to 11% versus 7% underlying revenue growth — a mathematical tailwind that amplifies per-share economics [1]</w:t>
      </w:r>
    </w:p>
    <w:p>
      <w:pPr>
        <w:spacing w:before="40" w:after="40"/>
        <w:ind w:left="283"/>
      </w:pPr>
      <w:r>
        <w:rPr>
          <w:rFonts w:ascii="Calibri" w:hAnsi="Calibri"/>
          <w:b/>
          <w:color w:val="4A6B25"/>
          <w:sz w:val="20"/>
        </w:rPr>
        <w:t xml:space="preserve">3. </w:t>
      </w:r>
      <w:r>
        <w:rPr>
          <w:rFonts w:ascii="Calibri" w:hAnsi="Calibri"/>
          <w:b w:val="0"/>
          <w:color w:val="3A4A28"/>
          <w:sz w:val="20"/>
        </w:rPr>
        <w:t>Risk and Legal segments benefiting from secular tailwinds in identity verification, fraud prevention, and regulatory compliance, with AI-enhanced products expanding addressable markets beyond traditional legal research into adjacent professional services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Open-access publishing movement threatens Elsevier's subscription model — government mandates for publicly-funded research to be freely available (Plan S in Europe) could pressure the Scientific segment's pricing power and margin structure over the medium term [3]</w:t>
      </w:r>
    </w:p>
    <w:p>
      <w:pPr>
        <w:spacing w:before="40" w:after="40"/>
        <w:ind w:left="283"/>
      </w:pPr>
      <w:r>
        <w:rPr>
          <w:rFonts w:ascii="Calibri" w:hAnsi="Calibri"/>
          <w:b/>
          <w:color w:val="4A6B25"/>
          <w:sz w:val="20"/>
        </w:rPr>
        <w:t xml:space="preserve">2. </w:t>
      </w:r>
      <w:r>
        <w:rPr>
          <w:rFonts w:ascii="Calibri" w:hAnsi="Calibri"/>
          <w:b w:val="0"/>
          <w:color w:val="3A4A28"/>
          <w:sz w:val="20"/>
        </w:rPr>
        <w:t>CEO succession risk after 17 years under Erik Engstrom — no public succession plan, and recent insider selling of GBP 2.5M in shares raises questions about leadership transition timing and whether the digital transformation culture can be sustained under new leadership [3]</w:t>
      </w:r>
    </w:p>
    <w:p>
      <w:pPr>
        <w:spacing w:before="40" w:after="40"/>
        <w:ind w:left="283"/>
      </w:pPr>
      <w:r>
        <w:rPr>
          <w:rFonts w:ascii="Calibri" w:hAnsi="Calibri"/>
          <w:b/>
          <w:color w:val="4A6B25"/>
          <w:sz w:val="20"/>
        </w:rPr>
        <w:t xml:space="preserve">3. </w:t>
      </w:r>
      <w:r>
        <w:rPr>
          <w:rFonts w:ascii="Calibri" w:hAnsi="Calibri"/>
          <w:b w:val="0"/>
          <w:color w:val="3A4A28"/>
          <w:sz w:val="20"/>
        </w:rPr>
        <w:t>D/E of 710% with $11.82B in total debt, though mitigated by 2.0x net debt/EBITDA and $3.87B FCF, creates sensitivity to rising interest rates and limits balance sheet flexibility for large-scale M&amp;A that might be needed to compete with AI-native competitors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RELX's core businesses are protected by substantial defensive moats — proprietary data sets built over decades (Elsevier's scientific corpus, LexisNexis legal databases, Risk segment's 78B+ identity records), regulatory requirements for legal and risk information, deep customer workflow integration, and high switching costs [1][2]. These structural advantages prevent easy AI substitution. However, AI does create real competitive pressure: generative AI tools could partially displace traditional legal research workflows, open-access AI models threaten academic publishing's subscription model, and new AI-native competitors could emerge in analytics [3]. The company has preemptively addressed this by deploying its own AI tools (Lexis+ AI, ScienceDirect AI), but the competitive landscape is evolving rapidly. The score reflects PROTECTED status — the core is defensible but some business lines face genuine AI pressure. AI Opportunity (1/1): RELX generates meaningful AI-embedded revenue through Lexis+ AI, ScienceDirect AI, AI-powered risk scoring and identity verification tools, and AI-enhanced analytics across all four segments [2]. H1 2026 results specifically highlighted AI-enabled products gaining customer traction, and AI capabilities are driving margin expansion (operating margin up 70bps to 35.5%).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RELX H1 2026 Interim Results — Underlying Revenue +7%, Adjusted Operating Profit +9%, Margin 35.5%, EPS +11% CC, GBP 1.75B Buyback Completed, July 2026</w:t>
      </w:r>
    </w:p>
    <w:p>
      <w:pPr>
        <w:spacing w:before="20" w:after="20"/>
        <w:ind w:left="170"/>
      </w:pPr>
      <w:r>
        <w:rPr>
          <w:rFonts w:ascii="Calibri" w:hAnsi="Calibri"/>
          <w:b/>
          <w:color w:val="4A6B25"/>
          <w:sz w:val="15"/>
        </w:rPr>
        <w:t xml:space="preserve">2. </w:t>
      </w:r>
      <w:r>
        <w:rPr>
          <w:rFonts w:ascii="Calibri" w:hAnsi="Calibri"/>
          <w:b w:val="0"/>
          <w:color w:val="3A4A28"/>
          <w:sz w:val="17"/>
        </w:rPr>
        <w:t>RELX AI Strategy and Digital Transformation — Lexis+ AI, ScienceDirect AI, Print Revenue &lt;5%, Engstrom Leadership Since 2009 — Investing.com, Kalkine, Sharecast, 2026</w:t>
      </w:r>
    </w:p>
    <w:p>
      <w:pPr>
        <w:spacing w:before="20" w:after="20"/>
        <w:ind w:left="170"/>
      </w:pPr>
      <w:r>
        <w:rPr>
          <w:rFonts w:ascii="Calibri" w:hAnsi="Calibri"/>
          <w:b/>
          <w:color w:val="4A6B25"/>
          <w:sz w:val="15"/>
        </w:rPr>
        <w:t xml:space="preserve">3. </w:t>
      </w:r>
      <w:r>
        <w:rPr>
          <w:rFonts w:ascii="Calibri" w:hAnsi="Calibri"/>
          <w:b w:val="0"/>
          <w:color w:val="3A4A28"/>
          <w:sz w:val="17"/>
        </w:rPr>
        <w:t>RELX Leadership, Culture, and Competitive Analysis — Glassdoor 80% Recommend, CEO Engstrom Insider Selling, AI Roadmap Ambiguity — Glassdoor, Substack, Simply Wall St, 2026</w:t>
      </w:r>
    </w:p>
    <w:p>
      <w:pPr>
        <w:spacing w:before="20" w:after="20"/>
        <w:ind w:left="170"/>
      </w:pPr>
      <w:r>
        <w:rPr>
          <w:rFonts w:ascii="Calibri" w:hAnsi="Calibri"/>
          <w:b/>
          <w:color w:val="4A6B25"/>
          <w:sz w:val="15"/>
        </w:rPr>
        <w:t xml:space="preserve">4. </w:t>
      </w:r>
      <w:r>
        <w:rPr>
          <w:rFonts w:ascii="Calibri" w:hAnsi="Calibri"/>
          <w:b w:val="0"/>
          <w:color w:val="3A4A28"/>
          <w:sz w:val="17"/>
        </w:rPr>
        <w:t>StockAnalysis.com — RELX Key Statistics: Forward P/E 17.91, ROE 131.86%, D/E 7.10, Profit Margin 23.27%, Avg Volume 2.1M, Market Cap $63.3B, accessed August 2026</w:t>
      </w:r>
    </w:p>
    <w:p>
      <w:pPr>
        <w:spacing w:before="20" w:after="20"/>
        <w:ind w:left="170"/>
      </w:pPr>
      <w:r>
        <w:rPr>
          <w:rFonts w:ascii="Calibri" w:hAnsi="Calibri"/>
          <w:b/>
          <w:color w:val="4A6B25"/>
          <w:sz w:val="15"/>
        </w:rPr>
        <w:t xml:space="preserve">5. </w:t>
      </w:r>
      <w:r>
        <w:rPr>
          <w:rFonts w:ascii="Calibri" w:hAnsi="Calibri"/>
          <w:b w:val="0"/>
          <w:color w:val="3A4A28"/>
          <w:sz w:val="17"/>
        </w:rPr>
        <w:t>RELX ESG and Governance — Board ESG Committee, Environmental Score Below Average, Standard ESG Reporting — CapEdge, Censible,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