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REXR</w:t>
      </w:r>
      <w:r>
        <w:rPr>
          <w:rFonts w:ascii="Calibri" w:hAnsi="Calibri"/>
          <w:b/>
          <w:color w:val="1A2010"/>
          <w:sz w:val="40"/>
        </w:rPr>
        <w:t xml:space="preserve">  Rexford Industrial Realty, Inc.</w:t>
      </w:r>
    </w:p>
    <w:p>
      <w:pPr>
        <w:spacing w:after="120"/>
      </w:pPr>
      <w:r>
        <w:rPr>
          <w:rFonts w:ascii="Calibri" w:hAnsi="Calibri"/>
          <w:b/>
          <w:color w:val="6E8450"/>
          <w:sz w:val="18"/>
        </w:rPr>
        <w:t>DIVIDEND SLEEVE · 2026-09-07 · Inspire: 66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Industrial · NYSE · United States</w:t>
      </w:r>
    </w:p>
    <w:p>
      <w:pPr>
        <w:spacing w:after="80"/>
      </w:pPr>
      <w:r>
        <w:rPr>
          <w:rFonts w:ascii="Calibri" w:hAnsi="Calibri"/>
          <w:b w:val="0"/>
          <w:color w:val="3A4A28"/>
          <w:sz w:val="20"/>
        </w:rPr>
        <w:t>Rexford Industrial Realty is a pure-play infill industrial REIT focused exclusively on Southern California, the largest and most supply-constrained industrial market in the United States. The portfolio comprises 409 properties with approximately 49.9 million rentable square feet, serving logistics, e-commerce, and light manufacturing tenants. Q2 2026 total revenue was $245.5M with FFO of $152.5M ($0.68/share). H1 2026 Core FFO per diluted share was $1.24 (+2.5% YoY), and the company raised full-year guidance to Core FFO of $2.37-$2.42 per share. Q1 set a record with 4.1 million square feet of new leases executed. CEO Laura Clark assumed leadership in April 2026, succeeding co-founders Michael Frankel and Howard Schwimmer. Market cap approximately $8.6B.</w:t>
      </w:r>
    </w:p>
    <w:p>
      <w:r>
        <w:rPr>
          <w:rFonts w:ascii="Calibri" w:hAnsi="Calibri"/>
          <w:b/>
          <w:color w:val="6E8450"/>
          <w:sz w:val="18"/>
        </w:rPr>
        <w:t>300 Employees · https://www.rexfordindustrial.com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Rexford has executed a significant platform expansion from a small SoCal industrial REIT to a 409-property, 49.9M sq ft portfolio through disciplined acquisitions and development, consistently recycling capital into higher-yield infill assets [1]. The company set a record for leasing activity in Q1 2026 with 4.1M sq ft executed, validating its operational model. The growth from approximately $360M revenue in 2021 to ~$980M TTM demonstrates successful scaling of a differentiated strategy. AI Deployment (0/2): No AI-powered products or AI-driven operational efficiencies were reported. REITs generally do not deploy AI as a revenue product, and Rexford has not disclosed AI-driven property management or leasing tools. Market Share (2/2): Rexford is the dominant pure-play infill industrial REIT in Southern California — the largest, most supply-constrained industrial market in the U.S. with vacancy rates consistently below national averages [1]. The company's exclusive SoCal focus and 49.9M sq ft portfolio give it category-defining market share in its niche. Product Pipeline (0/2): As a REIT, product pipeline is measured by development and redevelopment activity. While Rexford has an active capital recycling program, no specific named development projects with revenue timelines were identified in the research. R&amp;D Intensity (0/1): REITs do not have traditional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Rexford's stated culture centers on 'respect, collaboration, and a growth mindset' with a focus on being 'the best at what we do' — clear and well-articulated for a REIT, but not deeply distinctive or connected to a larger purpose beyond business excellence [3]. The company's sustainability commitment (SBTi-validated net zero goals) adds purpose beyond profit but the mission itself remains business-centric. Community Impact (2/2): Rexford is an S&amp;P Global Sustainability Yearbook Member (top 15% of REITs), avoided an estimated 28,500 metric tons of emissions by repurposing infill buildings rather than demolishing and rebuilding, expanded rooftop solar capacity, and developed an embodied carbon reduction strategy with SBTi-validated net zero goals [4]. This represents significant, distinctive environmental investment with specific measurable outcomes that go well beyond standard corporate ESG reporting. Employee Retention (0/2): Rexford describes a 'culture of respect and collaboration powered by an exceptional team,' but no specific employee tenure, turnover, or retention data was found. The planned leadership succession from co-founders to COO Laura Clark suggests organizational stability, but quantitative retention evidence is unavailable.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Dividend stock. Rexford demonstrates exceptional financial strength across most metrics: D/E of 36.9% scores 1.0 (well below the 70% target and a 62% discount to the REIT sector average of 97%) [5]. Revenue growth 5yr CAGR of approximately 22% scores 1.0, reflecting the aggressive acquisition-driven growth from ~$360M to ~$980M. Profit margin of 22.9% scores 1.0 (above the 20% target). Consecutive years paid at 13 years scores 1.0 at 2x weight (consistent dividends since 2013 IPO). 5yr dividend growth CAGR of approximately 11.5% scores 1.0 at 2x weight (well above the 6% target). Consecutive years growth of approximately 10 scores 1.0. Revenue YoY growth of 3% scores 0.77. The primary drags are Forward P/E of 31.80 scoring 0.71 (premium REIT valuation), FFO payout ratio of 71.88% scoring 0.47, and ROE of 2.5% scoring 0.17 (typical for capital-intensive REITs where book equity is large). Liquidity floor easily cleared at ~$94M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Rexford exhibits several hallmarks of an infinite-game player: a genuine Just Cause around sustainable industrial infrastructure in Southern California, a deliberate co-founder succession plan (Frankel/Schwimmer to Laura Clark) that prioritizes institutional continuity over personal tenure, and significant ESG investments (SBTi net zero goals, 28,500 tons emissions avoided) that sacrifice near-term returns for long-term sustainability [3][4]. However, the company's competitive language centers on being the 'preeminent' and 'best' — performance-oriented framing typical of finite-game thinking. The capital recycling program and cost-cutting measures alongside the leadership transition suggest a pragmatic blend of infinite-game purpose and finite-game optimization.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Rexford's purpose — providing modern, sustainable industrial infrastructure in Southern California's supply-constrained infill markets — connects the company's work to something larger: enabling the logistics and manufacturing backbone that urban economies depend on while minimizing environmental impact through building repurposing rather than demolition [4]. The SBTi-validated net zero goals and S&amp;P Global Sustainability Yearbook membership (top 15% of REITs) demonstrate the cause shapes investment decisions. The co-founder succession to Laura Clark was planned years in advance, suggesting the institution transcends any individual leader. However, the cause hasn't been tested through multi-decade execution (IPO was only in 2013) or a major crisis.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Rexford describes a 'culture of respect and collaboration powered by an exceptional team' [3]. The deliberate, multi-year leadership succession — Laura Clark joined as CFO in 2020, became COO in 2024, and CEO in April 2026 — demonstrates organizational planning and internal trust that the next generation of leadership can carry the institution forward. The addition of veteran REIT executive David Stockert to the board provides governance continuity. However, no quantitative data on employee tenure, voluntary turnover, or employee satisfaction was found to validate the cultural claims beyond leadership statements.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Rexford's leadership acknowledging competitors (Prologis, Duke Realty, other industrial REITs) as worthy rivals or framing competitive dynamics as motivation for improvement. The company's positioning language centers on being the 'preeminent' infill industrial REIT — a finite-game framing focused on winning rather than improving.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Rexford has evolved from a small, acquisitive SoCal industrial REIT to a large-scale platform incorporating capital recycling (selling lower-yield assets, investing in higher-yield development), sustainability-driven property repositioning, and a shift from pure acquisition growth to organic lease-up and development. The expansion from a few dozen properties to 409 properties / 49.9M sq ft required continuous strategic adaptation [1]. However, the company remains fundamentally the same business — a SoCal industrial landlord — and has not undergone a transformative reinvention of its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co-founders' decision to step back from day-to-day leadership and hand the company to a successor (Laura Clark) after building a 409-property portfolio demonstrates willingness to prioritize institutional longevity over personal control [3]. Investing in SBTi net zero goals and embodied carbon reduction strategies costs money in the near term with uncertain returns [4]. However, these are expected behaviors for a mature, well-run REIT rather than truly courageous bets — no evidence of leadership sacrificing earnings or walking away from profitable but misaligned opportunities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Rexford Industrial at $37.56 (4.69% yield, 31.80x forward P/E) is a high-quality pure-play industrial REIT owning 409 properties across Southern California — the most supply-constrained major industrial market in the U.S. H1 2026 Core FFO per share grew 2.5% to $1.24 with full-year guidance raised to $2.37-$2.42, and Q1 set a leasing record at 4.1M sq ft, demonstrating continued demand for SoCal infill logistics space [1][2]. The balance sheet is fortress-quality with D/E of 36.9% (62% below the REIT sector average), providing capacity for opportunistic acquisitions and development. The dividend has grown at an 11.5% 5-year CAGR with 13 consecutive years of payment since IPO and a manageable 72% FFO payout ratio. ESG leadership (S&amp;P Global Sustainability Yearbook, SBTi net zero) and the planned CEO succession to Laura Clark provide governance stability and institutional quality [3][4]. The Inspire Impact Score of 66 (ALIGNED) with zero negative attributions makes REXR particularly attractive for faith-based portfolios.</w:t>
      </w:r>
    </w:p>
    <w:p>
      <w:pPr>
        <w:spacing w:after="120"/>
      </w:pPr>
      <w:r>
        <w:rPr>
          <w:rFonts w:ascii="Calibri" w:hAnsi="Calibri"/>
          <w:b w:val="0"/>
          <w:color w:val="3A4A28"/>
          <w:sz w:val="20"/>
        </w:rPr>
        <w:t>The bear case centers on valuation premium, growth deceleration, and concentration risk. Forward P/E of 31.80 prices REXR at a significant premium to REIT peers, requiring sustained growth to justify the multiple — yet Core FFO per share growth has decelerated to 2.5% (H1 2026), and Q1 Total Portfolio NOI declined 4.2% YoY, suggesting the acquisition-driven growth era is slowing [1][2]. ROE of 2.5% reflects the capital-intensive nature of the business and means each dollar of equity generates minimal returns compared to non-REIT companies in the IOWN framework. The exclusive SoCal focus — while a strategic strength in a supply-constrained market — creates geographic concentration risk: a Southern California economic downturn, natural disaster (earthquake, wildfire), or regulatory change could disproportionately impact the portfolio. The CEO transition from co-founders Frankel and Schwimmer to Clark introduces leadership risk, though the multi-year grooming process mitigates this concern [3]. Rising interest rates could compress REIT valuations industry-wide and increase the cost of future acquisitions. The GAAP payout ratio of 194% (though standard for REITs due to depreciation) means the company distributes more than GAAP net income, requiring capital markets access for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Southern California industrial vacancy rates remaining near historic lows create embedded rent growth — mark-to-market lease spreads could drive organic NOI growth as below-market leases roll to current market rents across the 49.9M sq ft portfolio [1]</w:t>
      </w:r>
    </w:p>
    <w:p>
      <w:pPr>
        <w:spacing w:before="40" w:after="40"/>
        <w:ind w:left="283"/>
      </w:pPr>
      <w:r>
        <w:rPr>
          <w:rFonts w:ascii="Calibri" w:hAnsi="Calibri"/>
          <w:b/>
          <w:color w:val="4A6B25"/>
          <w:sz w:val="20"/>
        </w:rPr>
        <w:t xml:space="preserve">2. </w:t>
      </w:r>
      <w:r>
        <w:rPr>
          <w:rFonts w:ascii="Calibri" w:hAnsi="Calibri"/>
          <w:b w:val="0"/>
          <w:color w:val="3A4A28"/>
          <w:sz w:val="20"/>
        </w:rPr>
        <w:t>Capital recycling program selling lower-yield assets and reinvesting in higher-yield development/redevelopment projects could accelerate FFO per share growth beyond the current 2.5% trajectory, particularly as the new CEO Laura Clark implements her strategic vision [3]</w:t>
      </w:r>
    </w:p>
    <w:p>
      <w:pPr>
        <w:spacing w:before="40" w:after="40"/>
        <w:ind w:left="283"/>
      </w:pPr>
      <w:r>
        <w:rPr>
          <w:rFonts w:ascii="Calibri" w:hAnsi="Calibri"/>
          <w:b/>
          <w:color w:val="4A6B25"/>
          <w:sz w:val="20"/>
        </w:rPr>
        <w:t xml:space="preserve">3. </w:t>
      </w:r>
      <w:r>
        <w:rPr>
          <w:rFonts w:ascii="Calibri" w:hAnsi="Calibri"/>
          <w:b w:val="0"/>
          <w:color w:val="3A4A28"/>
          <w:sz w:val="20"/>
        </w:rPr>
        <w:t>Growing demand for last-mile logistics and e-commerce fulfillment facilities in dense urban markets, potentially amplified by AI-driven warehouse automation adoption, benefits Rexford's irreplaceable infill locations where new supply is physically constrained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Growth deceleration as the acquisition opportunity set narrows — Q1 Total Portfolio NOI declined 4.2% YoY and Core FFO growth slowed to 2.5%, raising questions about whether the premium valuation (31.80x forward P/E) is sustainable without reacceleration [1][2]</w:t>
      </w:r>
    </w:p>
    <w:p>
      <w:pPr>
        <w:spacing w:before="40" w:after="40"/>
        <w:ind w:left="283"/>
      </w:pPr>
      <w:r>
        <w:rPr>
          <w:rFonts w:ascii="Calibri" w:hAnsi="Calibri"/>
          <w:b/>
          <w:color w:val="4A6B25"/>
          <w:sz w:val="20"/>
        </w:rPr>
        <w:t xml:space="preserve">2. </w:t>
      </w:r>
      <w:r>
        <w:rPr>
          <w:rFonts w:ascii="Calibri" w:hAnsi="Calibri"/>
          <w:b w:val="0"/>
          <w:color w:val="3A4A28"/>
          <w:sz w:val="20"/>
        </w:rPr>
        <w:t>Geographic concentration in Southern California exposes the portfolio to regional economic risk, seismic events, wildfire disruption, and state-level regulatory changes (rent control debates, building code requirements, environmental mandates) that could impair property values or operating costs [1]</w:t>
      </w:r>
    </w:p>
    <w:p>
      <w:pPr>
        <w:spacing w:before="40" w:after="40"/>
        <w:ind w:left="283"/>
      </w:pPr>
      <w:r>
        <w:rPr>
          <w:rFonts w:ascii="Calibri" w:hAnsi="Calibri"/>
          <w:b/>
          <w:color w:val="4A6B25"/>
          <w:sz w:val="20"/>
        </w:rPr>
        <w:t xml:space="preserve">3. </w:t>
      </w:r>
      <w:r>
        <w:rPr>
          <w:rFonts w:ascii="Calibri" w:hAnsi="Calibri"/>
          <w:b w:val="0"/>
          <w:color w:val="3A4A28"/>
          <w:sz w:val="20"/>
        </w:rPr>
        <w:t>CEO succession risk as Laura Clark takes leadership from co-founders who built the company from IPO — while the transition was planned over years, Clark's strategic priorities and capital allocation decisions have not yet been tested through a full market cycle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Rexford's core business — owning, operating, and leasing physical industrial real estate in Southern California's supply-constrained infill markets — is structurally immune to AI disruption [1]. Warehouses, distribution centers, and light manufacturing facilities are tangible assets that AI cannot substitute, replicate, or displace. AI may even increase demand for Rexford's properties: the growth of e-commerce (which requires last-mile logistics facilities) and AI data center buildouts both drive incremental demand for industrial space in dense urban infill locations where new supply is physically constrained by zoning, land scarcity, and entitlement barriers. The regulated nature of real estate (zoning, leasing law, property rights) adds additional moat depth. No analysts have identified AI as a risk to industrial REITs; if anything, AI is a demand tailwind. AI Opportunity (0/1): Rexford does not generate revenue from AI products or services. The company is a landlord, not a technology provider.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Rexford Industrial Q1 2026 Financial Results — Core FFO $139.8M, Record 4.1M Sq Ft Leased, Total Portfolio NOI $185.4M (-4.2% YoY), 409 Properties / 49.9M Sq Ft — PRNewswire, April 2026</w:t>
      </w:r>
    </w:p>
    <w:p>
      <w:pPr>
        <w:spacing w:before="20" w:after="20"/>
        <w:ind w:left="170"/>
      </w:pPr>
      <w:r>
        <w:rPr>
          <w:rFonts w:ascii="Calibri" w:hAnsi="Calibri"/>
          <w:b/>
          <w:color w:val="4A6B25"/>
          <w:sz w:val="15"/>
        </w:rPr>
        <w:t xml:space="preserve">2. </w:t>
      </w:r>
      <w:r>
        <w:rPr>
          <w:rFonts w:ascii="Calibri" w:hAnsi="Calibri"/>
          <w:b w:val="0"/>
          <w:color w:val="3A4A28"/>
          <w:sz w:val="17"/>
        </w:rPr>
        <w:t>Rexford Industrial Q2 2026 Financial Results — Revenue $245.5M, FFO $152.5M ($0.68/share), H1 Core FFO Per Share $1.24 (+2.5%), FY2026 Guidance $2.37-$2.42 — Rexford IR, July 2026</w:t>
      </w:r>
    </w:p>
    <w:p>
      <w:pPr>
        <w:spacing w:before="20" w:after="20"/>
        <w:ind w:left="170"/>
      </w:pPr>
      <w:r>
        <w:rPr>
          <w:rFonts w:ascii="Calibri" w:hAnsi="Calibri"/>
          <w:b/>
          <w:color w:val="4A6B25"/>
          <w:sz w:val="15"/>
        </w:rPr>
        <w:t xml:space="preserve">3. </w:t>
      </w:r>
      <w:r>
        <w:rPr>
          <w:rFonts w:ascii="Calibri" w:hAnsi="Calibri"/>
          <w:b w:val="0"/>
          <w:color w:val="3A4A28"/>
          <w:sz w:val="17"/>
        </w:rPr>
        <w:t>Rexford Industrial Leadership Transition — CEO Laura Clark (April 2026), Co-Founder Succession, Board Member David Stockert, Culture of Respect and Collaboration — PRNewswire, Simply Wall St, 2025-2026</w:t>
      </w:r>
    </w:p>
    <w:p>
      <w:pPr>
        <w:spacing w:before="20" w:after="20"/>
        <w:ind w:left="170"/>
      </w:pPr>
      <w:r>
        <w:rPr>
          <w:rFonts w:ascii="Calibri" w:hAnsi="Calibri"/>
          <w:b/>
          <w:color w:val="4A6B25"/>
          <w:sz w:val="15"/>
        </w:rPr>
        <w:t xml:space="preserve">4. </w:t>
      </w:r>
      <w:r>
        <w:rPr>
          <w:rFonts w:ascii="Calibri" w:hAnsi="Calibri"/>
          <w:b w:val="0"/>
          <w:color w:val="3A4A28"/>
          <w:sz w:val="17"/>
        </w:rPr>
        <w:t>Rexford Industrial ESG — S&amp;P Global Sustainability Yearbook Member (Top 15% REITs), 28,500 Metric Tons Emissions Avoided, SBTi Net Zero Goals, Embodied Carbon Strategy — Rexford IR, PRNewswire,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GuruFocus — REXR Key Statistics: Stock Price $37.56, Forward P/E 31.80, D/E 36.9%, Dividend Yield 4.69%, FFO Payout 71.88%,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