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REYN</w:t>
      </w:r>
      <w:r>
        <w:rPr>
          <w:rFonts w:ascii="Calibri" w:hAnsi="Calibri"/>
          <w:b/>
          <w:color w:val="1A2010"/>
          <w:sz w:val="40"/>
        </w:rPr>
        <w:t xml:space="preserve">  Reynolds Consumer Products Inc.</w:t>
      </w:r>
    </w:p>
    <w:p>
      <w:pPr>
        <w:spacing w:after="120"/>
      </w:pPr>
      <w:r>
        <w:rPr>
          <w:rFonts w:ascii="Calibri" w:hAnsi="Calibri"/>
          <w:b/>
          <w:color w:val="6E8450"/>
          <w:sz w:val="18"/>
        </w:rPr>
        <w:t>DIVIDEND SLEEVE · 2026-10-01 · Inspire: 26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Packaging &amp; Containers · NASDAQ · United States</w:t>
      </w:r>
    </w:p>
    <w:p>
      <w:pPr>
        <w:spacing w:after="80"/>
      </w:pPr>
      <w:r>
        <w:rPr>
          <w:rFonts w:ascii="Calibri" w:hAnsi="Calibri"/>
          <w:b w:val="0"/>
          <w:color w:val="3A4A28"/>
          <w:sz w:val="20"/>
        </w:rPr>
        <w:t>Reynolds Consumer Products produces and sells household products across four segments: Reynolds Cooking &amp; Baking (aluminum foil, parchment paper, plastic wrap under Reynolds Wrap, Reynolds Kitchens, and EZ Foil brands), Hefty Waste &amp; Storage (trash and food storage bags), Hefty Tableware (disposable plates, bowls, cups), and Presto Products (store brand bags and wraps). Founded in 1947 and headquartered in Lake Forest, Illinois, the company reported TTM revenue of $3.8B with Q2 2026 EPS up 20% YoY. Reynolds is a subsidiary of Packaging Finance Limited.</w:t>
      </w:r>
    </w:p>
    <w:p>
      <w:r>
        <w:rPr>
          <w:rFonts w:ascii="Calibri" w:hAnsi="Calibri"/>
          <w:b/>
          <w:color w:val="6E8450"/>
          <w:sz w:val="18"/>
        </w:rPr>
        <w:t>6,000 Employees · https://www.reynoldsconsumerproducts.com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Reynolds' product innovation is incremental — compostable Hefty bags, trash bags made from recycled materials, and product line extensions represent modest refreshes within existing categories rather than transformative launches [1]. Revenue grew only 0.6% YoY to $3.8B TTM, and the core product lineup (aluminum foil, trash bags, tableware) looks fundamentally the same as five years ago. AI Deployment (1/2): Reynolds adopted Logility DemandAI+ for demand planning in 2024 and launched an 'intelligent factory program' to create a data-driven manufacturing culture with digitally-connected assets [2]. These generate internal efficiency gains but no AI products are sold to customers. Market Share (1/2): Reynolds Wrap remains the dominant brand in aluminum foil and Hefty holds a strong position in trash bags and tableware, but the company competes heavily with private label products through its Presto Products segment, indicating share pressure rather than category leadership [1]. Pipeline (0/2): No specific next-generation products with launch timelines have been announced. R&amp;D Intensity (0/1): As a consumer packaging company, R&amp;D spending is modest and below the manufacturing sector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Reynolds positions itself around simplifying everyday life for consumers through trusted household products — clear and identifies the audience, but not distinctive from any consumer products peer and lacks deeper purpose beyond convenience [2]. Community Impact (1/2): Reynolds secured SBTi-approved science-based emission reduction targets in 2023, pledging 25% reduction in Scope 1 and 2 emissions by 2030 relative to a 2021 baseline, and has developed compostable and recycled-material product lines [3]. However, no specific charitable giving dollar amounts or community investment programs were identified beyond general ESG compliance. Employee Retention (0/2): Glassdoor CEO approval rating of only 16%, with employee reviews citing 'zero work-life balance' and 'constant chaos and inability for clear direction from top leadership' [2]. Indeed approval of 48% and Comparably leadership grade of C+ reinforce weak employee sentiment. Insider Buying (0/2): No evidence of meaningful net insider buying by CEO Scott Huckins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71.3% is nearly at the 70% target (score 0.99), and Forward P/E of 12.65 is well below the 20 target (score 1.0) [4]. ROE of 15.4% just meets the 15% target (score 1.0), but profit margin of 9.1% is well below the 20% target (score 0.45). Revenue grew only 0.6% YoY (score 0.69) with a 5-year CAGR of approximately 1% (score 0.40). The dividend profile is weak: payout ratio of 56.4% (score 0.73), only 6 consecutive years paid since the 2020 IPO (score 0.60 at 2x weight), zero consecutive years of dividend growth (score 0.0), and flat dividend growth CAGR of 0% (score 0.0 at 2x weight). The $0.92/share annual dividend has been unchanged since 2021. Daily dollar volume of $29.5M provides adequate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Reynolds Consumer Products operates as a classic finite player — optimizing branded consumer staples for quarterly performance within well-defined product categories that have remained fundamentally unchanged for decades. New CEO Scott Huckins (January 2025) inherited a company with deeply negative employee sentiment, flat dividend growth, and no transformative strategic vision. While operational execution has improved (20% EPS growth in Q2 2026), the company shows no evidence of the purpose-driven, endurance-oriented thinking that defines an infinite game player.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Reynolds' purpose revolves around simplifying everyday household tasks through trusted brands — a cause that exists but is shallow and interchangeable with any consumer products peer [2]. The company does not articulate a vision of a better future beyond product convenience. Leadership does not reference a higher purpose in strategic communications; earnings calls focus on pricing actions, commodity costs, and margin management rather than any overarching mission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sentiment data reveals a low-trust environment. Glassdoor CEO approval stands at only 16%, with employees describing 'constant chaos,' 'zero work-life balance,' and inability for clear direction from top leadership [2]. Indeed approval of 48% and Comparably's C+ leadership grade corroborate widespread dissatisfaction. The executive leadership team was reshuffled in late 2024 with a new CEO, CFO, and organizational structure, adding transition uncertainty to an already unstable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Reynolds' competitive language focuses on defending branded market share against private label encroachment and managing pricing versus competitors — a finite 'win the shelf' mindset [1]. No evidence of management acknowledging competitors' strengths as motivation for self-improvement or referencing what they can learn from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Reynolds has manufactured the same core product categories — aluminum foil, plastic wrap, trash bags, disposable tableware — since its founding in 1947 [2]. While the company has added compostable and recycled-material variants, these are incremental extensions, not strategic reinventions. No evidence of willingness to abandon existing business lines or enter fundamentally new markets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Reynolds committed to SBTi-approved science-based emission reduction targets (25% by 2030) and invested in an intelligent factory program for long-term manufacturing digitization, representing some willingness to invest in capabilities beyond near-term earnings [2][3]. The company maintained its $0.92 dividend and grew EPS 20% in Q2 2026 while absorbing $400M in annualized commodity headwinds through productivity initiatives rather than cutting investment [1]. However, the flat dividend since 2021 and lack of transformative strategic bets limit the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Reynolds Consumer Products at 12.65x forward earnings with a 4.25% dividend yield offers a defensive consumer staples play anchored by iconic brands (Reynolds Wrap, Hefty) with dominant shelf positions in recession-resistant categories [1][4]. Q2 2026 delivered 20% EPS growth to $0.42 on modest revenue growth, demonstrating effective pricing and productivity execution against $400M in annualized commodity headwinds. Full-year 2026 guidance of $1.57-$1.63 EPS represents continued earnings recovery, and free cash flow of $244M (6.3% FCF yield) supports the dividend and debt reduction. D/E of 71% and current ratio of 1.8 indicate a stable balance sheet. The intelligent factory program and DemandAI+ adoption position the company for longer-term operational improvements [2].</w:t>
      </w:r>
    </w:p>
    <w:p>
      <w:pPr>
        <w:spacing w:after="120"/>
      </w:pPr>
      <w:r>
        <w:rPr>
          <w:rFonts w:ascii="Calibri" w:hAnsi="Calibri"/>
          <w:b w:val="0"/>
          <w:color w:val="3A4A28"/>
          <w:sz w:val="20"/>
        </w:rPr>
        <w:t>The bear case centers on structural stagnation and cultural dysfunction. Revenue has compounded at approximately 1% over five years, and the core product categories (aluminum foil, trash bags, tableware) face private label pressure and limited growth potential [1]. The $0.92 annual dividend has been frozen since 2021 — zero growth across six years while inflation eroded purchasing power. Profit margin of 9.1% is below packaging industry peers, and the company remains a subsidiary of Packaging Finance Limited, limiting strategic independence. Employee sentiment is deeply negative: 16% CEO approval on Glassdoor with reports of chaos and zero work-life balance suggest organizational dysfunction that could impair execution [2]. Short interest of 11.8% reflects market skepticism. With no next-generation product pipeline and no evidence of strategic transformation, REYN risks being a value trap — cheap on earnings multiples but unable to generate the growth or dividend increases needed to reward long-term holders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EPS guidance of $1.57-$1.63 implies continued margin expansion through pricing actions and productivity gains, with Q1-Q2 already delivering 20%+ EPS growth despite $400M annualized commodity headwinds [1]</w:t>
      </w:r>
    </w:p>
    <w:p>
      <w:pPr>
        <w:spacing w:before="40" w:after="40"/>
        <w:ind w:left="283"/>
      </w:pPr>
      <w:r>
        <w:rPr>
          <w:rFonts w:ascii="Calibri" w:hAnsi="Calibri"/>
          <w:b/>
          <w:color w:val="4A6B25"/>
          <w:sz w:val="20"/>
        </w:rPr>
        <w:t xml:space="preserve">2. </w:t>
      </w:r>
      <w:r>
        <w:rPr>
          <w:rFonts w:ascii="Calibri" w:hAnsi="Calibri"/>
          <w:b w:val="0"/>
          <w:color w:val="3A4A28"/>
          <w:sz w:val="20"/>
        </w:rPr>
        <w:t>Intelligent factory program and DemandAI+ adoption could unlock manufacturing efficiency gains and improved demand forecasting across Reynolds' production facilities [2]</w:t>
      </w:r>
    </w:p>
    <w:p>
      <w:pPr>
        <w:spacing w:before="40" w:after="40"/>
        <w:ind w:left="283"/>
      </w:pPr>
      <w:r>
        <w:rPr>
          <w:rFonts w:ascii="Calibri" w:hAnsi="Calibri"/>
          <w:b/>
          <w:color w:val="4A6B25"/>
          <w:sz w:val="20"/>
        </w:rPr>
        <w:t xml:space="preserve">3. </w:t>
      </w:r>
      <w:r>
        <w:rPr>
          <w:rFonts w:ascii="Calibri" w:hAnsi="Calibri"/>
          <w:b w:val="0"/>
          <w:color w:val="3A4A28"/>
          <w:sz w:val="20"/>
        </w:rPr>
        <w:t>Potential for dividend resumption of growth after multi-year freeze, supported by improving FCF generation ($244M TTM) and declining leverage (D/E 71%)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has been frozen at $0.92/share since 2021 with zero consecutive years of growth, creating real purchasing power erosion for income investors and signaling limited management confidence in sustained earnings growth [4]</w:t>
      </w:r>
    </w:p>
    <w:p>
      <w:pPr>
        <w:spacing w:before="40" w:after="40"/>
        <w:ind w:left="283"/>
      </w:pPr>
      <w:r>
        <w:rPr>
          <w:rFonts w:ascii="Calibri" w:hAnsi="Calibri"/>
          <w:b/>
          <w:color w:val="4A6B25"/>
          <w:sz w:val="20"/>
        </w:rPr>
        <w:t xml:space="preserve">2. </w:t>
      </w:r>
      <w:r>
        <w:rPr>
          <w:rFonts w:ascii="Calibri" w:hAnsi="Calibri"/>
          <w:b w:val="0"/>
          <w:color w:val="3A4A28"/>
          <w:sz w:val="20"/>
        </w:rPr>
        <w:t>Private label competition through own Presto Products segment cannibalizes branded margins — the company competes against itself as retailers push store brands in trash bags, food storage, and wraps [1]</w:t>
      </w:r>
    </w:p>
    <w:p>
      <w:pPr>
        <w:spacing w:before="40" w:after="40"/>
        <w:ind w:left="283"/>
      </w:pPr>
      <w:r>
        <w:rPr>
          <w:rFonts w:ascii="Calibri" w:hAnsi="Calibri"/>
          <w:b/>
          <w:color w:val="4A6B25"/>
          <w:sz w:val="20"/>
        </w:rPr>
        <w:t xml:space="preserve">3. </w:t>
      </w:r>
      <w:r>
        <w:rPr>
          <w:rFonts w:ascii="Calibri" w:hAnsi="Calibri"/>
          <w:b w:val="0"/>
          <w:color w:val="3A4A28"/>
          <w:sz w:val="20"/>
        </w:rPr>
        <w:t>Employee culture dysfunction evidenced by 16% CEO approval on Glassdoor and reports of 'constant chaos' risks execution failure on productivity and factory digitization initiatives under new CEO Scott Huckins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Reynolds' core business — manufacturing and distributing physical household products (aluminum foil, trash bags, disposable tableware) through retail channels — faces minimal direct AI substitution risk [1]. These are tangible consumer staples purchased regardless of AI advances, with physical manufacturing infrastructure and brand-driven distribution creating structural moats. However, AI-powered private label optimization by retailers could pressure shelf space and trade terms for Reynolds' branded products, and AI-enabled demand forecasting at competitors narrows Reynolds' planning advantage. AI Opportunity (0/1): Reynolds uses AI internally through Logility DemandAI+ and its intelligent factory program, generating operational efficiency gains, but does not generate any revenue from AI products or services sold to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Reynolds Consumer Products Q1/Q2 2026 Earnings Releases — SEC Form 8-K, Nasdaq, Investing.com, May-July 2026</w:t>
      </w:r>
    </w:p>
    <w:p>
      <w:pPr>
        <w:spacing w:before="20" w:after="20"/>
        <w:ind w:left="170"/>
      </w:pPr>
      <w:r>
        <w:rPr>
          <w:rFonts w:ascii="Calibri" w:hAnsi="Calibri"/>
          <w:b/>
          <w:color w:val="4A6B25"/>
          <w:sz w:val="15"/>
        </w:rPr>
        <w:t xml:space="preserve">2. </w:t>
      </w:r>
      <w:r>
        <w:rPr>
          <w:rFonts w:ascii="Calibri" w:hAnsi="Calibri"/>
          <w:b w:val="0"/>
          <w:color w:val="3A4A28"/>
          <w:sz w:val="17"/>
        </w:rPr>
        <w:t>Reynolds Consumer Products Leadership, AI Strategy, and Employee Reviews — Comparably, Glassdoor, Indeed, AppsRunTheWorld, CBT News, 2025-2026</w:t>
      </w:r>
    </w:p>
    <w:p>
      <w:pPr>
        <w:spacing w:before="20" w:after="20"/>
        <w:ind w:left="170"/>
      </w:pPr>
      <w:r>
        <w:rPr>
          <w:rFonts w:ascii="Calibri" w:hAnsi="Calibri"/>
          <w:b/>
          <w:color w:val="4A6B25"/>
          <w:sz w:val="15"/>
        </w:rPr>
        <w:t xml:space="preserve">3. </w:t>
      </w:r>
      <w:r>
        <w:rPr>
          <w:rFonts w:ascii="Calibri" w:hAnsi="Calibri"/>
          <w:b w:val="0"/>
          <w:color w:val="3A4A28"/>
          <w:sz w:val="17"/>
        </w:rPr>
        <w:t>Reynolds Consumer Products ESG and Sustainability — Sustainalytics ESG Risk Rating, SBTi Targets, BusinessWire, 2023-2026</w:t>
      </w:r>
    </w:p>
    <w:p>
      <w:pPr>
        <w:spacing w:before="20" w:after="20"/>
        <w:ind w:left="170"/>
      </w:pPr>
      <w:r>
        <w:rPr>
          <w:rFonts w:ascii="Calibri" w:hAnsi="Calibri"/>
          <w:b/>
          <w:color w:val="4A6B25"/>
          <w:sz w:val="15"/>
        </w:rPr>
        <w:t xml:space="preserve">4. </w:t>
      </w:r>
      <w:r>
        <w:rPr>
          <w:rFonts w:ascii="Calibri" w:hAnsi="Calibri"/>
          <w:b w:val="0"/>
          <w:color w:val="3A4A28"/>
          <w:sz w:val="17"/>
        </w:rPr>
        <w:t>Reynolds Consumer Products Financial Data — Yahoo Finance, TradingView, StockAnalysis.com,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