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RF</w:t>
      </w:r>
      <w:r>
        <w:rPr>
          <w:rFonts w:ascii="Calibri" w:hAnsi="Calibri"/>
          <w:b/>
          <w:color w:val="1A2010"/>
          <w:sz w:val="40"/>
        </w:rPr>
        <w:t xml:space="preserve">  Regions Financial Corporation</w:t>
      </w:r>
    </w:p>
    <w:p>
      <w:pPr>
        <w:spacing w:after="120"/>
      </w:pPr>
      <w:r>
        <w:rPr>
          <w:rFonts w:ascii="Calibri" w:hAnsi="Calibri"/>
          <w:b/>
          <w:color w:val="6E8450"/>
          <w:sz w:val="18"/>
        </w:rPr>
        <w:t>DIVIDEND SLEEVE · 2026-10-08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NYQ · United States</w:t>
      </w:r>
    </w:p>
    <w:p>
      <w:pPr>
        <w:spacing w:after="80"/>
      </w:pPr>
      <w:r>
        <w:rPr>
          <w:rFonts w:ascii="Calibri" w:hAnsi="Calibri"/>
          <w:b w:val="0"/>
          <w:color w:val="3A4A28"/>
          <w:sz w:val="20"/>
        </w:rPr>
        <w:t>Regions Financial Corporation is a financial holding company operating through three segments: Corporate Bank, Consumer Bank, and Wealth Management. The company provides commercial and industrial lending, commercial real estate, consumer banking products, mortgage services, wealth management, and capital markets activities across the southeastern United States. Founded in 1971 and headquartered in Birmingham, Alabama with approximately 20,000 employees, Regions reported Q2 2026 earnings of $549 million ($0.64 EPS) with net interest margin of 3.66% and total revenue growing 2% adjusted YoY.</w:t>
      </w:r>
    </w:p>
    <w:p>
      <w:r>
        <w:rPr>
          <w:rFonts w:ascii="Calibri" w:hAnsi="Calibri"/>
          <w:b/>
          <w:color w:val="6E8450"/>
          <w:sz w:val="18"/>
        </w:rPr>
        <w:t>20,003 Employees · https://www.regions.com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Regions launched an internally governed, model-agnostic generative AI platform in Q4 2025, deploying copilot tools to over 12,000 associates and achieving J.D. Power's #1 ranking in online banking satisfaction in 2026 [2]. The bank also redesigned its mobile app with personalized insights, representing a meaningful digital transformation for a regional bank. AI Deployment (2/2): AI copilot tools deployed to 12,000+ associates, and 35% of new business opportunities in the corporate bank are powered by AI-driven customer insights. The platform includes AI-powered cyber defense capabilities and is described as model-agnostic with governed human-in-the-loop principles [2]. Market Share (1/2): Ranked #1 in online banking and #2 in mobile app satisfaction by J.D. Power in 2026, establishing Regions as a digital leader among regional banks, though it remains a regional player without national scale [2]. Product Pipeline (1/2): Core banking system modernization is targeted for 2027 alongside a new digital banking platform and API layer, with data and analytics initiatives continuing to expand AI use cases. Timelines are specific but the transformation is incremental, not category-defining. R&amp;D Intensity (0/1): Banks do not typically report R&amp;D spending, and Regions' technology investment, while significant, is not distinguishable from industry peers in public disclosures.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Regions' mission is to 'produce superior economic value for shareholders over time by improving life for customers, associates, and communities, while creating shared value' [3]. This is specific and thoughtful — it explicitly connects profit to community benefit and uses the distinctive language of 'shared value' creation. The vision to be the 'premier regional financial institution in America' adds strategic clarity. It differentiates from generic banking missions and reflects genuine intentionality. However, it lacks the transformative quality of a purpose validated by decades of consistent execution. Community Impact (1/2): Regions has published annual Shared Value Reports since 2016 covering community investment and engagement. The bank conducts an annual 'Week of Understanding' where associates participate in leader-led dialogue about differences and inclusion [3]. However, specific dollar amounts for charitable giving or distinctive community impact metrics were not identified. Employee Retention (0/2): No specific voluntary turnover, average tenure, or employee satisfaction data publicly available. Approximately 20,000 employees with no notable layoffs or cultural red flags identified. Insider Buying (1/2): Multiple directors purchased stock in 2025 — Roger Jenkins bought approximately $102K, Jose Suquet bought approximately $58K, and Joia Johnson bought approximately $49K in open-market purchases, signaling moderate board conviction [4]. However, overall insider activity was net selling, with named executives selling larger amounts.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(D/E excluded as unavailable for banks). The Forward P/E of 9.37 is deeply discounted versus the 20x target (score 1.0) [1]. Profit margin of 30.8% exceeds the 20% target (score 1.0), reflecting efficient bank operations and strong net interest margin of 3.66%. The dividend profile is excellent: 14+ consecutive years of payments since resumption in 2012 (score 1.0, 2x weight), 13 consecutive years of dividend growth since 2013 (score 1.0), and 5-year dividend growth CAGR of approximately 10% (score 1.0, 2x weight) [1][3]. The payout ratio of 43.3% is slightly above the 40% target (score 0.95). ROE of 11.9% (score 0.79) is below the 15% target, typical for well-capitalized regional banks. Revenue growth of 3.4% YoY (score 0.78) reflects the naturally low-growth banking sector. Daily dollar volume of approximately $240M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Regions Financial demonstrates a mixed mindset — its 'shared value' mission is genuinely thoughtful and connects profit to community benefit, which Sinek would acknowledge as more purposeful than most financial institutions. The bank has maintained consistent leadership, grown its dividend for 13 consecutive years through multiple cycles, and invested in long-term digital transformation. However, the competitive language remains finite (focused on market share and peer rankings), and the core banking model has not been fundamentally reinvented. The company plays to keep playing in its current form, but has not demonstrated the existential flexibility or Just Cause that defines truly infinite game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Regions' 'shared value' mission — improving life for customers, associates, and communities — is distinctive for a bank and reflects genuine intentionality about purpose beyond profit [3]. The mission has been referenced consistently since at least 2016 (when the first Shared Value Report was published) and shapes community engagement strategy. However, it has not been tested by a crisis that required sacrificing profit for purpose, and strategic decisions are not publicly traced back to this mission in the way Sinek requires for a full 3 points.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Regions maintains a stable 20,000-person organization with consistent leadership and no notable recent layoffs or cultural crises [1]. The annual 'Week of Understanding' program demonstrates intentionality about organizational culture. However, no specific evidence of exceptional trust, employee empowerment, long tenure, or low voluntary turnover distinguishes Regions from regional bank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Regions' competitive language focuses on J.D. Power rankings (#1 online banking, #2 mobile app), peer benchmarking, and market share metrics — standard finite game measures [2]. No evidence of management acknowledging competitors' strengths as motivation for self-improvement or learning from rival institutions.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Regions has adapted incrementally — investing in digital banking, deploying AI tools, and planning a core system modernization for 2027. These represent strategic evolution within the existing banking model. The bank has not fundamentally reinvented itself or abandoned a profitable business line in service of a larger cause. This is disciplined adaptation, not transformative flexibility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Regions invested in AI platform development and core banking modernization while maintaining 13 consecutive years of dividend growth, demonstrating willingness to balance long-term technology investment with shareholder returns [1][2]. The bank grew the dividend from $0.17 to $0.30 quarterly over five years, committing capital to shareholder returns even during periods of interest rate uncertainty. However, no evidence of sacrificing near-term earnings for transformative long-term capability or taking principled stances with material financial cost.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Regions Financial at $26.70 with a $22.7B market cap offers a compelling risk-reward for income investors, combining a 4.0% dividend yield with 13 consecutive years of dividend growth and a deeply discounted 9.4x forward P/E. Q2 2026 delivered $549M in earnings ($0.64 EPS) with adjusted diluted EPS up 13% YoY and a top-quartile net interest margin of 3.66% [1]. Management guides 2.5-4% net interest income growth for full-year 2026, supported by a favorable rate environment. The bank's digital transformation is delivering results — J.D. Power ranked Regions #1 in online banking satisfaction, AI copilot tools reach 12,000+ associates, and 35% of corporate banking opportunities are AI-powered [2]. The balance sheet is well-capitalized, the southeastern U.S. footprint benefits from population migration trends, and the $0.30 quarterly dividend ($1.20 annualized) is well covered at a 43% payout ratio.</w:t>
      </w:r>
    </w:p>
    <w:p>
      <w:pPr>
        <w:spacing w:after="120"/>
      </w:pPr>
      <w:r>
        <w:rPr>
          <w:rFonts w:ascii="Calibri" w:hAnsi="Calibri"/>
          <w:b w:val="0"/>
          <w:color w:val="3A4A28"/>
          <w:sz w:val="20"/>
        </w:rPr>
        <w:t>The bear case centers on the low-growth banking model and cyclical credit risk. Revenue grew only 3.4% YoY, and the 3-year revenue CAGR of approximately 1.6% reflects the structurally low-growth nature of regional banking. ROE of 11.9% trails the 15% target, and the PEG ratio of 1.41 suggests the stock is fairly valued rather than cheap on a growth-adjusted basis. Credit quality remains the perennial risk for regional banks — a recession in the southeastern U.S., commercial real estate stress, or rising consumer delinquencies could force elevated loan loss provisions that compress earnings and threaten dividend growth [1]. The core banking system modernization targeted for 2027 carries execution risk and significant capital expenditure. Additionally, regulatory changes (higher capital requirements, FDIC assessment increases) could constrain capital returns. Competition from fintech lenders and larger national banks with greater technology budgets creates ongoing pressure on the consumer banking franchise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Net interest income expansion from favorable rate environment — management guides 2.5-4% NII growth for 2026, and the 3.66% NIM positions Regions among top-quartile regional banks for rate sensitivity [1]</w:t>
      </w:r>
    </w:p>
    <w:p>
      <w:pPr>
        <w:spacing w:before="40" w:after="40"/>
        <w:ind w:left="283"/>
      </w:pPr>
      <w:r>
        <w:rPr>
          <w:rFonts w:ascii="Calibri" w:hAnsi="Calibri"/>
          <w:b/>
          <w:color w:val="4A6B25"/>
          <w:sz w:val="20"/>
        </w:rPr>
        <w:t xml:space="preserve">2. </w:t>
      </w:r>
      <w:r>
        <w:rPr>
          <w:rFonts w:ascii="Calibri" w:hAnsi="Calibri"/>
          <w:b w:val="0"/>
          <w:color w:val="3A4A28"/>
          <w:sz w:val="20"/>
        </w:rPr>
        <w:t>AI and digital transformation driving operational efficiency and revenue growth — 35% of corporate banking opportunities powered by AI insights, with core modernization and new digital platform on track for 2027 delivery [2]</w:t>
      </w:r>
    </w:p>
    <w:p>
      <w:pPr>
        <w:spacing w:before="40" w:after="40"/>
        <w:ind w:left="283"/>
      </w:pPr>
      <w:r>
        <w:rPr>
          <w:rFonts w:ascii="Calibri" w:hAnsi="Calibri"/>
          <w:b/>
          <w:color w:val="4A6B25"/>
          <w:sz w:val="20"/>
        </w:rPr>
        <w:t xml:space="preserve">3. </w:t>
      </w:r>
      <w:r>
        <w:rPr>
          <w:rFonts w:ascii="Calibri" w:hAnsi="Calibri"/>
          <w:b w:val="0"/>
          <w:color w:val="3A4A28"/>
          <w:sz w:val="20"/>
        </w:rPr>
        <w:t>Southeastern U.S. demographic tailwinds — population and job migration into Regions' core markets (Alabama, Tennessee, Florida, Georgia, Texas) support loan growth and deposit franchise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cycle deterioration in the southeastern U.S. footprint — rising consumer delinquencies, commercial real estate stress, or regional recession could force elevated loan loss provisions that compress earnings and threaten the 13-year dividend growth streak [1]</w:t>
      </w:r>
    </w:p>
    <w:p>
      <w:pPr>
        <w:spacing w:before="40" w:after="40"/>
        <w:ind w:left="283"/>
      </w:pPr>
      <w:r>
        <w:rPr>
          <w:rFonts w:ascii="Calibri" w:hAnsi="Calibri"/>
          <w:b/>
          <w:color w:val="4A6B25"/>
          <w:sz w:val="20"/>
        </w:rPr>
        <w:t xml:space="preserve">2. </w:t>
      </w:r>
      <w:r>
        <w:rPr>
          <w:rFonts w:ascii="Calibri" w:hAnsi="Calibri"/>
          <w:b w:val="0"/>
          <w:color w:val="3A4A28"/>
          <w:sz w:val="20"/>
        </w:rPr>
        <w:t>Structurally low revenue growth at 1.6% 3-year CAGR with a 43% payout ratio leaves limited reinvestment capacity — the bank must balance technology investment, capital returns, and regulatory requirements on a modest revenue base [1][2]</w:t>
      </w:r>
    </w:p>
    <w:p>
      <w:pPr>
        <w:spacing w:before="40" w:after="40"/>
        <w:ind w:left="283"/>
      </w:pPr>
      <w:r>
        <w:rPr>
          <w:rFonts w:ascii="Calibri" w:hAnsi="Calibri"/>
          <w:b/>
          <w:color w:val="4A6B25"/>
          <w:sz w:val="20"/>
        </w:rPr>
        <w:t xml:space="preserve">3. </w:t>
      </w:r>
      <w:r>
        <w:rPr>
          <w:rFonts w:ascii="Calibri" w:hAnsi="Calibri"/>
          <w:b w:val="0"/>
          <w:color w:val="3A4A28"/>
          <w:sz w:val="20"/>
        </w:rPr>
        <w:t>Fintech and big bank competitive pressure on consumer banking margins — larger national banks and digital-native lenders with greater technology budgets could erode Regions' consumer deposit and lending market share despite J.D. Power satisfaction rankings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Banking is a heavily regulated industry with deep switching costs — customers' deposit relationships, mortgage servicing, and commercial lending require physical branch presence, regulatory compliance, personal trust, and complex risk assessment that AI cannot fully replicate [2]. Core banking functions like credit underwriting, regulatory reporting, and fiduciary wealth management require human judgment and regulatory oversight. AI-powered fintech competitors pose some competitive pressure on commoditized products (payments, simple lending), but Regions' relationship-based commercial and wealth management businesses are well protected. Analysts are not concerned about AI displacement for regional banks. AI Opportunity (1/1): Regions generates meaningful operational value from AI — copilot tools deployed to 12,000+ associates, 35% of new corporate banking opportunities powered by AI-driven insights, and AI-powered cyber defense [2]. While not direct AI product revenue, these deployments quantifiably enhance the bank's revenue-generating and risk-management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Regions Financial Q2 2026 Earnings — $549M Earnings, $0.64 EPS, 3.66% NIM, Adjusted Revenue +2% YoY — Barchart, BusinessWire, Las Vegas Sun, July 2026</w:t>
      </w:r>
    </w:p>
    <w:p>
      <w:pPr>
        <w:spacing w:before="20" w:after="20"/>
        <w:ind w:left="170"/>
      </w:pPr>
      <w:r>
        <w:rPr>
          <w:rFonts w:ascii="Calibri" w:hAnsi="Calibri"/>
          <w:b/>
          <w:color w:val="4A6B25"/>
          <w:sz w:val="15"/>
        </w:rPr>
        <w:t xml:space="preserve">2. </w:t>
      </w:r>
      <w:r>
        <w:rPr>
          <w:rFonts w:ascii="Calibri" w:hAnsi="Calibri"/>
          <w:b w:val="0"/>
          <w:color w:val="3A4A28"/>
          <w:sz w:val="17"/>
        </w:rPr>
        <w:t>Regions Financial AI and Digital Strategy — Generative AI Platform Launch Q4 2025, 12,000+ Associate Copilot Deployment, J.D. Power #1 Online Banking — SEC 8-K Q3 2026 Investor Materials, Kavout, American Banker, 2025-2026</w:t>
      </w:r>
    </w:p>
    <w:p>
      <w:pPr>
        <w:spacing w:before="20" w:after="20"/>
        <w:ind w:left="170"/>
      </w:pPr>
      <w:r>
        <w:rPr>
          <w:rFonts w:ascii="Calibri" w:hAnsi="Calibri"/>
          <w:b/>
          <w:color w:val="4A6B25"/>
          <w:sz w:val="15"/>
        </w:rPr>
        <w:t xml:space="preserve">3. </w:t>
      </w:r>
      <w:r>
        <w:rPr>
          <w:rFonts w:ascii="Calibri" w:hAnsi="Calibri"/>
          <w:b w:val="0"/>
          <w:color w:val="3A4A28"/>
          <w:sz w:val="17"/>
        </w:rPr>
        <w:t>Regions Financial Mission, Values, and ESG — 'Shared Value' Mission, Annual Shared Value Report Since 2016, Week of Understanding Program — Regions.com, 2023 Shared Value Report, SEC Proxy Statements</w:t>
      </w:r>
    </w:p>
    <w:p>
      <w:pPr>
        <w:spacing w:before="20" w:after="20"/>
        <w:ind w:left="170"/>
      </w:pPr>
      <w:r>
        <w:rPr>
          <w:rFonts w:ascii="Calibri" w:hAnsi="Calibri"/>
          <w:b/>
          <w:color w:val="4A6B25"/>
          <w:sz w:val="15"/>
        </w:rPr>
        <w:t xml:space="preserve">4. </w:t>
      </w:r>
      <w:r>
        <w:rPr>
          <w:rFonts w:ascii="Calibri" w:hAnsi="Calibri"/>
          <w:b w:val="0"/>
          <w:color w:val="3A4A28"/>
          <w:sz w:val="17"/>
        </w:rPr>
        <w:t>Regions Financial Insider Trading — Director Purchases (Jenkins $102K, Suquet $58K, Johnson $49K) — SEC Form 4 Filings, GuruFocus, QuantiNow,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