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RGNX</w:t>
      </w:r>
      <w:r>
        <w:rPr>
          <w:rFonts w:ascii="Calibri" w:hAnsi="Calibri"/>
          <w:b/>
          <w:color w:val="1A2010"/>
          <w:sz w:val="40"/>
        </w:rPr>
        <w:t xml:space="preserve">  REGENXBIO Inc.</w:t>
      </w:r>
    </w:p>
    <w:p>
      <w:pPr>
        <w:spacing w:after="120"/>
      </w:pPr>
      <w:r>
        <w:rPr>
          <w:rFonts w:ascii="Calibri" w:hAnsi="Calibri"/>
          <w:b/>
          <w:color w:val="6E8450"/>
          <w:sz w:val="18"/>
        </w:rPr>
        <w:t>GROWTH SLEEVE · 2026-10-01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REGENXBIO is a clinical-stage biotechnology company developing gene therapies based on its proprietary NAV AAV (adeno-associated virus) gene delivery platform. The NAV Technology Platform has been licensed to major pharmaceutical companies including AbbVie and Nippon Shinyaku. ZOLGENSMA, a landmark gene therapy for spinal muscular atrophy developed by Novartis using RGNX's licensed technology, generated significant royalties until U.S. patent expiration in January 2026. The company has multiple internal clinical programs targeting rare diseases including MPS I (RGX-111), MPS II (RGX-121), and ophthalmology indications. Headquartered in Rockville, Maryland, RGNX reported Q2 2026 revenue of $108M including a $100M AbbVie milestone.</w:t>
      </w:r>
    </w:p>
    <w:p>
      <w:r>
        <w:rPr>
          <w:rFonts w:ascii="Calibri" w:hAnsi="Calibri"/>
          <w:b/>
          <w:color w:val="6E8450"/>
          <w:sz w:val="18"/>
        </w:rPr>
        <w:t>350 Employees · https://www.regenxbio.com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REGENXBIO's NAV Technology Platform represents genuine innovation in gene therapy delivery — the proprietary AAV vector technology has been licensed to multiple major pharma partners (AbbVie, Nippon Shinyaku), and the platform underpinned ZOLGENSMA, one of the most important gene therapies ever approved for spinal muscular atrophy [1]. The $100M AbbVie milestone in Q2 2026 validates ongoing platform value. However, the company's own clinical programs have not yet produced an approved product, and FDA partial clinical holds on RGX-111 and RGX-121 represent significant setbacks [2]. AI Deployment (0/2): No evidence of AI-powered products or quantified AI-driven operational savings. Market Share (1/2): The NAV Technology Platform is one of the leading AAV gene delivery platforms in the industry, with licensing deals spanning multiple therapeutic areas and blue-chip pharma partners, but RGNX faces intensifying competition from other AAV platforms (Spark, bluebird bio, Ultragenyx) and emerging non-AAV delivery technologies [1][2]. Pipeline (1/2): Multiple clinical programs in MPS I, MPS II, and ophthalmology, but FDA partial clinical holds on two lead programs create timeline uncertainty and no specific launch dates have been confirmed [2]. R&amp;D Intensity (1/1): As a clinical-stage biotech, virtually all spending is R&amp;D — well above top quartile for any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REGENXBIO's mission centers on 'improving lives through the curative potential of gene therapy,' backed by core values of Trust, Accountability, Perseverance, and Innovation [2][3]. This is specific and thoughtful — it connects the company's work to curing devastating genetic diseases and articulates a future where single-dose gene therapies replace chronic treatment paradigms. The mission differentiates from peers and reflects genuine intentionality validated by years of platform development and licensing. Community Impact (0/2): The company's Rockville, Maryland headquarters is LEED Gold certified, demonstrating environmental commitment, but no specific charitable giving programs or community investment dollar amounts were identified [3]. Employee Retention (1/2): Glassdoor shows 57% would recommend working at REGENXBIO with 3.3/5 work-life balance and 3.2/5 culture scores — adequate for biotech but not exceptional [2]. CEO Curran Simpson has been with the company since 2015, providing leadership continuity. Some reviews note instability alongside good management. Insider Buying (0/2): No evidence of meaningful net insider buying by CEO Simpson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RGNX is a clinical-stage biotech with deeply negative profitability — Q1 2026 posted a $90M net loss on just $6.4M revenue (profit margin deeply negative, score 0.0) [1]. ROE is deeply negative (score 0.0 at 2x weight). Revenue growth appears strong at ~70% YoY as analysts forecast $274M for 2026 versus ~$161M in 2025 (score 1.0), but this is driven by lumpy milestone payments including the $100M AbbVie milestone in Q2 rather than recurring revenue [1]. Forward P/E and PEG are not meaningful for a company still generating annual net losses. Daily dollar volume of ~$12.5M provides adequate liquidity. Most core financial metrics are unavailable or at floor values, resulting in a low infrastructure score typical of pre-commercial biotechs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REGENXBIO demonstrates genuine infinite game characteristics through its mission-driven focus on curing genetic diseases via gene therapy, sustained R&amp;D investment despite years of operating losses, and a licensing-oriented business model that creates collaborative industry partnerships. CEO Curran Simpson's decade-long tenure since 2015 provides leadership continuity. However, FDA clinical holds on lead programs, declining ZOLGENSMA royalties post-patent expiration, and the inherent binary risk of clinical-stage biotech create existential pressures that could force finite-game decisions around cash preservation versus R&amp;D investment.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'Improving lives through the curative potential of gene therapy' is a genuine, specific, and service-oriented cause that connects the company's work to eliminating devastating genetic diseases through one-time curative treatments [2]. The cause is bigger than any single product and has guided consistent strategic decisions over a decade — building the NAV platform, licensing broadly to advance gene therapy adoption, and pursuing rare disease programs where patient need is acute. However, the cause has not yet been tested through crisis or validated by commercial success of RGNX's own therapies.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Adequate trust indicators — Glassdoor 57% recommendation rate with 3.3/5 work-life balance is standard for clinical-stage biotech [2]. CEO Curran Simpson's 11-year tenure since joining in 2015 provides stability, and the company has maintained a relatively lean organization. Some employee reviews describe 'great management and challenges, but instability persists,' which is typical for clinical-stage companies navigating regulatory uncertainty and cash management.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REGENXBIO operates in the collaborative gene therapy ecosystem, licensing its NAV Technology Platform to competitors and partners including AbbVie and Nippon Shinyaku rather than pursuing a 'winner-take-all' strategy [1]. This licensing model inherently acknowledges that others' capabilities in manufacturing, commercialization, and therapeutic area expertise complement RGNX's platform strengths —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REGENXBIO has maintained a singular focus on AAV-based gene therapy since founding, with no evidence of strategic reinvention or willingness to pursue fundamentally different approaches [2]. While the company has not yet faced a crisis requiring existential flexibility, the narrow platform focus (AAV vectors only) in an era of emerging non-AAV delivery technologies (lipid nanoparticles, CRISPR-based approaches) represents potential rigidity.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REGENXBIO continues investing heavily in R&amp;D — posting a $90M net loss in Q1 2026 alone — while pursuing curative gene therapies for rare diseases with small patient populations, demonstrating willingness to sacrifice near-term profitability for long-term therapeutic impact [1]. However, this is standard operating procedure for clinical-stage biotech rather than a distinctive courageous choice, and the company's ability to sustain this investment depends on milestone payments and capital markets access rather than internal cash generation.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REGENXBIO at $7.53 per share ($497M market cap) offers high-risk exposure to the gene therapy platform economy through the proprietary NAV AAV Technology Platform, which has been validated by ZOLGENSMA's commercial success and continues generating value through licensing milestones including a $100M AbbVie payment in Q2 2026 [1]. Analysts forecast $274M in 2026 revenue (70% growth) with the loss per share narrowing 53% to $1.67, and the company's analyst consensus implies significant upside potential. The NAV platform has been licensed across multiple therapeutic areas to blue-chip pharma partners, creating a diversified revenue base beyond any single clinical program. With multiple internal programs in rare diseases and ophthalmology, RGNX represents a leveraged bet on the curative potential of AAV-based gene therapy [2].</w:t>
      </w:r>
    </w:p>
    <w:p>
      <w:pPr>
        <w:spacing w:after="120"/>
      </w:pPr>
      <w:r>
        <w:rPr>
          <w:rFonts w:ascii="Calibri" w:hAnsi="Calibri"/>
          <w:b w:val="0"/>
          <w:color w:val="3A4A28"/>
          <w:sz w:val="20"/>
        </w:rPr>
        <w:t>The bear case is severe and centers on clinical and financial risk. FDA partial clinical holds on RGX-111 (MPS I) and RGX-121 (MPS II) halt new patient recruitment, creating substantial development delays and increased costs [2]. ZOLGENSMA royalty revenue declined sharply following U.S. patent expiration in January 2026 — Q1 royalties fell $12.2M from the prior year period, permanently removing a key revenue stream. The company burned $90M in Q1 2026 alone against only $6.4M in revenue, and profitability depends entirely on lumpy, unpredictable milestone payments rather than recurring commercial revenue. Market cap of $497M against annual cash burn of potentially $200M+ creates existential funding risk within 2-3 years without additional milestones or capital raises. The stock has declined from $30+ in 2021 to $7.53, reflecting market skepticism about the clinical pipeline's ability to generate shareholder value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$100M AbbVie milestone recognized in Q2 2026 validates continued platform value, with potential for additional milestones from existing licensing partnerships as partner programs advance through clinical development [1]</w:t>
      </w:r>
    </w:p>
    <w:p>
      <w:pPr>
        <w:spacing w:before="40" w:after="40"/>
        <w:ind w:left="283"/>
      </w:pPr>
      <w:r>
        <w:rPr>
          <w:rFonts w:ascii="Calibri" w:hAnsi="Calibri"/>
          <w:b/>
          <w:color w:val="4A6B25"/>
          <w:sz w:val="20"/>
        </w:rPr>
        <w:t xml:space="preserve">2. </w:t>
      </w:r>
      <w:r>
        <w:rPr>
          <w:rFonts w:ascii="Calibri" w:hAnsi="Calibri"/>
          <w:b w:val="0"/>
          <w:color w:val="3A4A28"/>
          <w:sz w:val="20"/>
        </w:rPr>
        <w:t>Resolution of FDA partial clinical holds on RGX-111 and RGX-121 could reignite clinical momentum in rare disease gene therapy and restore investor confidence in the pipeline [2]</w:t>
      </w:r>
    </w:p>
    <w:p>
      <w:pPr>
        <w:spacing w:before="40" w:after="40"/>
        <w:ind w:left="283"/>
      </w:pPr>
      <w:r>
        <w:rPr>
          <w:rFonts w:ascii="Calibri" w:hAnsi="Calibri"/>
          <w:b/>
          <w:color w:val="4A6B25"/>
          <w:sz w:val="20"/>
        </w:rPr>
        <w:t xml:space="preserve">3. </w:t>
      </w:r>
      <w:r>
        <w:rPr>
          <w:rFonts w:ascii="Calibri" w:hAnsi="Calibri"/>
          <w:b w:val="0"/>
          <w:color w:val="3A4A28"/>
          <w:sz w:val="20"/>
        </w:rPr>
        <w:t>Analyst consensus forecasting $274M in 2026 revenue with 53% reduction in per-share losses suggests improving financial trajectory if milestone cadence continues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FDA partial clinical holds on lead programs RGX-111 (MPS I) and RGX-121 (MPS II) halt patient enrollment indefinitely, potentially requiring additional safety studies and delaying development by 12-24 months with no guaranteed resolution [2]</w:t>
      </w:r>
    </w:p>
    <w:p>
      <w:pPr>
        <w:spacing w:before="40" w:after="40"/>
        <w:ind w:left="283"/>
      </w:pPr>
      <w:r>
        <w:rPr>
          <w:rFonts w:ascii="Calibri" w:hAnsi="Calibri"/>
          <w:b/>
          <w:color w:val="4A6B25"/>
          <w:sz w:val="20"/>
        </w:rPr>
        <w:t xml:space="preserve">2. </w:t>
      </w:r>
      <w:r>
        <w:rPr>
          <w:rFonts w:ascii="Calibri" w:hAnsi="Calibri"/>
          <w:b w:val="0"/>
          <w:color w:val="3A4A28"/>
          <w:sz w:val="20"/>
        </w:rPr>
        <w:t>Cash burn of ~$90M in Q1 2026 against $6.4M revenue creates existential funding risk — without continued milestone payments or capital raises, RGNX faces potential cash depletion within 2-3 years [1]</w:t>
      </w:r>
    </w:p>
    <w:p>
      <w:pPr>
        <w:spacing w:before="40" w:after="40"/>
        <w:ind w:left="283"/>
      </w:pPr>
      <w:r>
        <w:rPr>
          <w:rFonts w:ascii="Calibri" w:hAnsi="Calibri"/>
          <w:b/>
          <w:color w:val="4A6B25"/>
          <w:sz w:val="20"/>
        </w:rPr>
        <w:t xml:space="preserve">3. </w:t>
      </w:r>
      <w:r>
        <w:rPr>
          <w:rFonts w:ascii="Calibri" w:hAnsi="Calibri"/>
          <w:b w:val="0"/>
          <w:color w:val="3A4A28"/>
          <w:sz w:val="20"/>
        </w:rPr>
        <w:t>Loss of ZOLGENSMA royalty revenue following U.S. patent expiration in January 2026 permanently removes a recurring revenue stream, increasing dependence on lumpy, binary milestone payments from licensing partners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Gene therapy development is deeply regulated by the FDA, requiring physical-world biological manufacturing (viral vector production), years-long clinical trials, and highly specialized scientific expertise that AI cannot substitute [2]. The core value proposition — curative gene therapies delivered via proprietary AAV vectors — depends on biological mechanisms and regulatory processes structurally resistant to AI disruption. However, AI is increasingly used in drug discovery and clinical trial optimization, which could accelerate competitors' development timelines and erode RGNX's first-mover advantages in certain AAV vector designs. AI Opportunity (0/1): RGNX does not generate revenue from AI products or services. While AI tools may be used internally for research, no quantifiable AI revenue contribution has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REGENXBIO Q1/Q2 2026 Financial Results — SEC Form 8-K, TradingView, Yahoo Finance, StockTitan, May-August 2026</w:t>
      </w:r>
    </w:p>
    <w:p>
      <w:pPr>
        <w:spacing w:before="20" w:after="20"/>
        <w:ind w:left="170"/>
      </w:pPr>
      <w:r>
        <w:rPr>
          <w:rFonts w:ascii="Calibri" w:hAnsi="Calibri"/>
          <w:b/>
          <w:color w:val="4A6B25"/>
          <w:sz w:val="15"/>
        </w:rPr>
        <w:t xml:space="preserve">2. </w:t>
      </w:r>
      <w:r>
        <w:rPr>
          <w:rFonts w:ascii="Calibri" w:hAnsi="Calibri"/>
          <w:b w:val="0"/>
          <w:color w:val="3A4A28"/>
          <w:sz w:val="17"/>
        </w:rPr>
        <w:t>REGENXBIO Leadership, Clinical Programs, FDA Holds — TipRanks, Glassdoor, Comparably, DirectorsTalkInterviews, 2025-2026</w:t>
      </w:r>
    </w:p>
    <w:p>
      <w:pPr>
        <w:spacing w:before="20" w:after="20"/>
        <w:ind w:left="170"/>
      </w:pPr>
      <w:r>
        <w:rPr>
          <w:rFonts w:ascii="Calibri" w:hAnsi="Calibri"/>
          <w:b/>
          <w:color w:val="4A6B25"/>
          <w:sz w:val="15"/>
        </w:rPr>
        <w:t xml:space="preserve">3. </w:t>
      </w:r>
      <w:r>
        <w:rPr>
          <w:rFonts w:ascii="Calibri" w:hAnsi="Calibri"/>
          <w:b w:val="0"/>
          <w:color w:val="3A4A28"/>
          <w:sz w:val="17"/>
        </w:rPr>
        <w:t>REGENXBIO ESG and Corporate Governance — SEC DEF 14A Proxy Statement, Annual Report (ARS), 2025-2026</w:t>
      </w:r>
    </w:p>
    <w:p>
      <w:pPr>
        <w:spacing w:before="20" w:after="20"/>
        <w:ind w:left="170"/>
      </w:pPr>
      <w:r>
        <w:rPr>
          <w:rFonts w:ascii="Calibri" w:hAnsi="Calibri"/>
          <w:b/>
          <w:color w:val="4A6B25"/>
          <w:sz w:val="15"/>
        </w:rPr>
        <w:t xml:space="preserve">4. </w:t>
      </w:r>
      <w:r>
        <w:rPr>
          <w:rFonts w:ascii="Calibri" w:hAnsi="Calibri"/>
          <w:b w:val="0"/>
          <w:color w:val="3A4A28"/>
          <w:sz w:val="17"/>
        </w:rPr>
        <w:t>REGENXBIO Financial Data — Yahoo Finance, WallStreetZen, MarketBeat,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