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RGR</w:t>
      </w:r>
      <w:r>
        <w:rPr>
          <w:rFonts w:ascii="Calibri" w:hAnsi="Calibri"/>
          <w:b/>
          <w:color w:val="1A2010"/>
          <w:sz w:val="40"/>
        </w:rPr>
        <w:t xml:space="preserve">  Sturm, Ruger &amp; Company, Inc.</w:t>
      </w:r>
    </w:p>
    <w:p>
      <w:pPr>
        <w:spacing w:after="120"/>
      </w:pPr>
      <w:r>
        <w:rPr>
          <w:rFonts w:ascii="Calibri" w:hAnsi="Calibri"/>
          <w:b/>
          <w:color w:val="6E8450"/>
          <w:sz w:val="18"/>
        </w:rPr>
        <w:t>DIVIDEND SLEEVE · 2026-09-21 · Inspire: 24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Sturm, Ruger &amp; Company designs, manufactures, and sells firearms for the commercial sporting market in the United States under the Ruger and Marlin brands. Products include semi-automatic pistols, revolvers, single-shot and autoloading rifles, modern sporting rifles, bolt-action rifles, lever-action rifles, and over-under shotguns. The company also operates a castings and MIM parts segment. Operates manufacturing facilities in Southport, CT; Newport, NH; Mayodan, NC; and Prescott, AZ. Under new CEO Todd Seyfert (appointed March 2025), the company has restructured into autonomous business units and reported its 5th consecutive quarter of sequential and YoY sales growth [1]. Founded in 1949, virtually debt-free with $117M cash and $1.5M in debt.</w:t>
      </w:r>
    </w:p>
    <w:p>
      <w:r>
        <w:rPr>
          <w:rFonts w:ascii="Calibri" w:hAnsi="Calibri"/>
          <w:b/>
          <w:color w:val="6E8450"/>
          <w:sz w:val="18"/>
        </w:rPr>
        <w:t>1,780 Employees · https://www.ruger.com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New CEO Todd Seyfert (appointed March 2025, formerly President of Land Vehicles Americas at Dometic Group) has restructured the company into autonomous business units and improved average selling prices, contributing to 5 consecutive quarters of YoY sales growth [1]. New products including the RXM pistol, Marlin lever-action rifles, and American Centerfire Rifle Generation II represented $173M or 33% of firearm sales in 2025 [1]. However, no transformative new product categories or business model shifts have occurred — Ruger remains a traditional firearms manufacturer. AI Deployment (0/2): No evidence of AI deployment or strategy in firearms design, manufacturing, or operations. Market Share (1/2): Ruger is one of the three major U.S. firearms manufacturers alongside Smith &amp; Wesson and SIG Sauer, with strong brand recognition in revolvers and semi-automatic pistols [1]. Product Pipeline (1/2): Active new product development with specific models named and 33% of sales from new products, plus Seyfert's manufacturing expertise driving product development improvements [1]. R&amp;D Intensity (0/1): No R&amp;D spending data disclosed; firearms manufacturing is a relatively low-R&amp;D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'Arms Makers for Responsible Citizens' is a clear mission that identifies what the company does and for whom, connecting commercial activity to civic responsibility and the Second Amendment [1]. It differentiates from generic corporate statements and has persisted for decades. However, it does not articulate a deeper transformative purpose. Community Impact (0/2): No specific charitable programs, foundation activities, or dollar amounts identified in research. General firearms industry civic engagement (education, conservation) referenced but not quantified. Employee Retention (0/2): Glassdoor reviews cite 'two major layoffs in two years' and 'leadership showing no accountability during layoffs' — low-trust signals during the CEO transition and $15-20M restructuring [2]. Insider Buying (0/2): Net insider selling outweighs buying over the past 12 months, with director and executive sales exceeding purchases by more than 2:1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dividend-stock metrics. Ruger's balance sheet is a standout: D/E of 0.5% (virtually zero debt with $117M cash against $1.5M debt) scores maximum [3]. Revenue growth YoY of 19.3% (TTM) exceeds the 10% target, reflecting recovery momentum with Q1 2026 sales of $141.4M (+4.1% YoY) and 5 consecutive quarters of growth [1]. Forward P/E of 20.2x is near the 20 target. However, profitability is deeply depressed: ROE of 4.2% and profit margin of 2.1% are well below targets (15% and 20% respectively), reflecting the earnings trough as trailing EPS of $0.74 includes restructuring costs [3]. The 5-year revenue CAGR of approximately -1% reflects post-COVID normalization from the 2021 demand surge ($730M). On dividend metrics, consecutive years paid of 17 (since 2009) scores maximum at 2x weight, but the variable dividend has collapsed from $7.42 (2022) to $0.84 forward, producing a deeply negative 5-year dividend growth CAGR of approximately -24% (scoring 0 at 2x weight) and 0-1 consecutive years of growth [3]. Liquidity passes at ~$5.7M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Ruger is a mixed-to-finite game player. The 'Arms Makers for Responsible Citizens' slogan provides a genuine but limited cause that has persisted for decades. The company's zero-debt discipline demonstrates long-term financial thinking. However, the recent leadership instability (two rounds of layoffs, CEO transition, insider selling exceeding buying), and absence of strategic vision beyond incremental product refinement reflect a company managing quarter to quarter during a transformation rather than building for generational endurance [1][2].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'Arms Makers for Responsible Citizens' connects Ruger's commercial activity to a civic purpose — the responsible exercise of Second Amendment rights [1]. This slogan has endured for decades, giving it consistency. However, it describes the company's current function rather than an aspirational future state, and strategic decisions (restructuring, layoffs, dividend cuts) do not clearly trace back to advancing this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points to a low-trust environment during the CEO transition. Glassdoor reviews cite 'two major layoffs in two years,' 'leadership showing no accountability during layoffs,' and restructuring costs of $15-20M impacting short-term results [2]. The new CEO from outside the firearms industry (Seyfert from Dometic Group) represents openness to change but also organizational disruption as 1,780 employees navigate new leadership and autonomous business unit structures.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Ruger competes with Smith &amp; Wesson and SIG Sauer. The company's communications focus on market share, unit volumes, and pricing power relative to peers rather than learning from competitors' strengths [1]. The hiring of an outside CEO from Dometic Group shows some willingness to look beyond the industry for best practices.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Ruger has evolved its product portfolio over decades — adding modern sporting rifles, acquiring the Marlin brand, and restructuring into autonomous business units under Seyfert [1]. The hiring of a CEO from outside the firearms industry represents openness to new approaches. However, these are incremental adaptations within the same business model of designing and manufacturing consumer firearms.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Ruger has maintained its zero-debt policy throughout its modern history, demonstrating genuine financial discipline [3]. The board's decision to hire an outside CEO (Seyfert from Dometic) when profitability was struggling shows willingness to seek external perspective. The $15-20M restructuring investment accepts short-term pain for long-term positioning [1]. However, declining dividends and insider selling suggest prioritizing short-term cost management over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Ruger's recent results signal a potential cyclical turning point: TTM revenue growth of 19.3%, 5 consecutive quarters of YoY sales improvement, and forward EPS of $2.03 suggest the earnings trough may be past [1]. The company's fortress balance sheet — $117M cash, $1.5M debt, D/E of 0.5% — provides exceptional financial flexibility to invest through the cycle without leverage risk [3]. New CEO Todd Seyfert's restructuring into autonomous business units, improved product mix (33% of sales from new products), and manufacturing expertise from Dometic Group position Ruger for margin recovery. At 20.2x forward earnings, valuation is reasonable for a consumer products company with brand loyalty, physical manufacturing moats, and structural firearms demand. The Inspire Impact Score of 24 (MIXED) with four positive attributions places Ruger in neutral territory for faith-based investors.</w:t>
      </w:r>
    </w:p>
    <w:p>
      <w:pPr>
        <w:spacing w:after="120"/>
      </w:pPr>
      <w:r>
        <w:rPr>
          <w:rFonts w:ascii="Calibri" w:hAnsi="Calibri"/>
          <w:b w:val="0"/>
          <w:color w:val="3A4A28"/>
          <w:sz w:val="20"/>
        </w:rPr>
        <w:t>The bear case centers on cyclical uncertainty and organizational instability. ROE of 4.2% and profit margin of 2.1% remain deeply depressed, with trailing EPS of only $0.74 including restructuring charges of $15-20M [1][3]. The variable dividend has collapsed from $7.42 (2022) to $0.84 forward, producing a -24% 5-year CAGR that devastates the Infrastructure score's dividend metrics. Glassdoor reviews citing layoffs, accountability issues, and low culture scores (2.6/5) raise concerns about organizational health during the CEO transition [2]. The firearms industry faces persistent ESG headwinds — Bank of America and Wells Fargo have both declined to provide credit to Ruger due to ESG policies, and large asset managers increasingly screen out firearms exposure [2]. Net insider selling exceeding buying contrasts with companies where management has strong conviction in the turnaround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quarterly revenue growth inflection — 5th consecutive quarter of YoY improvement with 19.3% TTM growth suggests the firearms demand cycle may have bottomed, with potential for sustained margin expansion and ROE recovery [1]</w:t>
      </w:r>
    </w:p>
    <w:p>
      <w:pPr>
        <w:spacing w:before="40" w:after="40"/>
        <w:ind w:left="283"/>
      </w:pPr>
      <w:r>
        <w:rPr>
          <w:rFonts w:ascii="Calibri" w:hAnsi="Calibri"/>
          <w:b/>
          <w:color w:val="4A6B25"/>
          <w:sz w:val="20"/>
        </w:rPr>
        <w:t xml:space="preserve">2. </w:t>
      </w:r>
      <w:r>
        <w:rPr>
          <w:rFonts w:ascii="Calibri" w:hAnsi="Calibri"/>
          <w:b w:val="0"/>
          <w:color w:val="3A4A28"/>
          <w:sz w:val="20"/>
        </w:rPr>
        <w:t>CEO Seyfert's autonomous business unit restructuring completing in 2026, unlocking operational efficiencies and improved product development velocity that could lift margins back to historical mid-teens levels [1]</w:t>
      </w:r>
    </w:p>
    <w:p>
      <w:pPr>
        <w:spacing w:before="40" w:after="40"/>
        <w:ind w:left="283"/>
      </w:pPr>
      <w:r>
        <w:rPr>
          <w:rFonts w:ascii="Calibri" w:hAnsi="Calibri"/>
          <w:b/>
          <w:color w:val="4A6B25"/>
          <w:sz w:val="20"/>
        </w:rPr>
        <w:t xml:space="preserve">3. </w:t>
      </w:r>
      <w:r>
        <w:rPr>
          <w:rFonts w:ascii="Calibri" w:hAnsi="Calibri"/>
          <w:b w:val="0"/>
          <w:color w:val="3A4A28"/>
          <w:sz w:val="20"/>
        </w:rPr>
        <w:t>Fortress balance sheet with $117M cash and zero effective debt enables opportunistic capital deployment including potential acquisitions, share buybacks, or dividend restoration as earnings recover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ROE of 4.2% and profit margin of 2.1% demonstrate the business is barely profitable — the cyclical recovery must prove sustainable rather than a temporary inflection to justify current valuation [3]</w:t>
      </w:r>
    </w:p>
    <w:p>
      <w:pPr>
        <w:spacing w:before="40" w:after="40"/>
        <w:ind w:left="283"/>
      </w:pPr>
      <w:r>
        <w:rPr>
          <w:rFonts w:ascii="Calibri" w:hAnsi="Calibri"/>
          <w:b/>
          <w:color w:val="4A6B25"/>
          <w:sz w:val="20"/>
        </w:rPr>
        <w:t xml:space="preserve">2. </w:t>
      </w:r>
      <w:r>
        <w:rPr>
          <w:rFonts w:ascii="Calibri" w:hAnsi="Calibri"/>
          <w:b w:val="0"/>
          <w:color w:val="3A4A28"/>
          <w:sz w:val="20"/>
        </w:rPr>
        <w:t>ESG-driven financial exclusion by major banks (Bank of America, Wells Fargo declining credit) creates structural disadvantages and limits strategic flexibility for the firearms industry [2]</w:t>
      </w:r>
    </w:p>
    <w:p>
      <w:pPr>
        <w:spacing w:before="40" w:after="40"/>
        <w:ind w:left="283"/>
      </w:pPr>
      <w:r>
        <w:rPr>
          <w:rFonts w:ascii="Calibri" w:hAnsi="Calibri"/>
          <w:b/>
          <w:color w:val="4A6B25"/>
          <w:sz w:val="20"/>
        </w:rPr>
        <w:t xml:space="preserve">3. </w:t>
      </w:r>
      <w:r>
        <w:rPr>
          <w:rFonts w:ascii="Calibri" w:hAnsi="Calibri"/>
          <w:b w:val="0"/>
          <w:color w:val="3A4A28"/>
          <w:sz w:val="20"/>
        </w:rPr>
        <w:t>Variable dividend policy has produced a -24% 5-year CAGR collapse from $7.42 (2022) to $0.84 forward, with net insider selling signaling limited management conviction in the turnaround timing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Firearms manufacturing is a physical-world business involving precision machining, metallurgy, assembly, quality testing, and distribution through federally licensed dealers — none of which AI can replace or substitute [1]. The industry is deeply regulated by the ATF, requiring physical compliance infrastructure, background check systems, and serialized product tracking that are structurally immune to AI disruption. Consumer demand for firearms is driven by Second Amendment exercise, personal protection, hunting, and sport shooting — fundamental physical activities AI cannot displace. However, AI does not actively increase demand for firearms (unlike energy or semiconductors where AI is a demand driver), limiting the score to 8. AI Opportunity (0/1): Ruger generates no revenue from AI products or services. No AI deployment in manufacturing or customer-facing operations has been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Sturm, Ruger &amp; Company FY2025 Results and Q1 2026 Earnings — Revenue $546M (FY2025), Q1 $141.4M (+4.1% YoY), 5th Consecutive Quarter Growth, New Products 33% of Sales — SEC Form 8-K, StockTitan, 2026</w:t>
      </w:r>
    </w:p>
    <w:p>
      <w:pPr>
        <w:spacing w:before="20" w:after="20"/>
        <w:ind w:left="170"/>
      </w:pPr>
      <w:r>
        <w:rPr>
          <w:rFonts w:ascii="Calibri" w:hAnsi="Calibri"/>
          <w:b/>
          <w:color w:val="4A6B25"/>
          <w:sz w:val="15"/>
        </w:rPr>
        <w:t xml:space="preserve">2. </w:t>
      </w:r>
      <w:r>
        <w:rPr>
          <w:rFonts w:ascii="Calibri" w:hAnsi="Calibri"/>
          <w:b w:val="0"/>
          <w:color w:val="3A4A28"/>
          <w:sz w:val="17"/>
        </w:rPr>
        <w:t>Sturm, Ruger Leadership, Culture, and ESG — CEO Todd Seyfert (March 2025), Autonomous Business Units, Glassdoor Reviews, Bank ESG Exclusion — Investing.com, TipRanks, Winston-Salem Journal,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RGR Key Statistics: P/E 55.4, Forward P/E 20.2, D/E 0.5%, ROE 4.2%, Profit Margin 2.1%, Dividend Yield 2.05%,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