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RIG</w:t>
      </w:r>
      <w:r>
        <w:rPr>
          <w:rFonts w:ascii="Calibri" w:hAnsi="Calibri"/>
          <w:b/>
          <w:color w:val="1A2010"/>
          <w:sz w:val="40"/>
        </w:rPr>
        <w:t xml:space="preserve">  Transocean Ltd.</w:t>
      </w:r>
    </w:p>
    <w:p>
      <w:pPr>
        <w:spacing w:after="120"/>
      </w:pPr>
      <w:r>
        <w:rPr>
          <w:rFonts w:ascii="Calibri" w:hAnsi="Calibri"/>
          <w:b/>
          <w:color w:val="6E8450"/>
          <w:sz w:val="18"/>
        </w:rPr>
        <w:t>GROWTH SLEEVE · 2026-10-02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Drilling · NYQ · Switzerland</w:t>
      </w:r>
    </w:p>
    <w:p>
      <w:pPr>
        <w:spacing w:after="80"/>
      </w:pPr>
      <w:r>
        <w:rPr>
          <w:rFonts w:ascii="Calibri" w:hAnsi="Calibri"/>
          <w:b w:val="0"/>
          <w:color w:val="3A4A28"/>
          <w:sz w:val="20"/>
        </w:rPr>
        <w:t>Transocean is the world's largest offshore contract drilling company, operating a fleet of ultra-deepwater floaters and harsh environment semisubmersibles. The company contracts mobile offshore drilling rigs, related equipment, and work crews to integrated energy companies, government-owned energy companies, and independent operators worldwide. TTM revenue of $4.12B with Q1 2026 drilling revenue of $1.08B and a $6.7B backlog. Announced acquisition of Valaris creating combined ~$11B backlog. Founded in 1926, headquartered in Zug, Switzerland.</w:t>
      </w:r>
    </w:p>
    <w:p>
      <w:r>
        <w:rPr>
          <w:rFonts w:ascii="Calibri" w:hAnsi="Calibri"/>
          <w:b/>
          <w:color w:val="6E8450"/>
          <w:sz w:val="18"/>
        </w:rPr>
        <w:t>5,220 Employees · https://www.deepwater.com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Transocean has incrementally advanced its fleet technology through ultra-deepwater specialization, hybrid power systems, and the 2024-2025 deployment of SmartEquipment and Dashboard AI systems for predictive failure analysis and uptime optimization [3]. However, the core business model — contracting mobile offshore drilling rigs — has remained fundamentally unchanged for decades. No transformative pivot or new market category has been created. AI Deployment (1/2): SmartEquipment and Dashboard AI systems are actively deployed across the fleet to predict equipment failures and boost rig uptime, representing measurable internal AI-driven operational improvements [3]. However, no specific dollar savings or efficiency gains have been publicly quantified. Market Share (2/2): Transocean operates the world's most advanced fleet of ultra-deepwater drillships, maintaining category leadership in deepwater and harsh-environment drilling — the most technically demanding and highest-dayrate segment of offshore drilling [1]. The announced Valaris acquisition would create a combined fleet with approximately $11B in pro forma backlog and $200M+ in cost synergies, further consolidating market leadership [1]. Pipeline (1/2): The Valaris acquisition provides clear strategic visibility with $11B combined backlog, $200M+ synergies, and fleet rationalization opportunities; multiple rigs are being reactivated for new contracts [1]. But next-generation rig technology or new business models are not articulated. R&amp;D (0/1): R&amp;D intensity is at or below the offshore drilling industry average — innovation in this sector is primarily operational and incremental rather than research-driven.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Transocean's values — captured in the FIRST acronym (Focus, Innovation, Results, Safety, Technical Leadership) — are clear but generic for the industry, interchangeable with any premium drilling contractor [3]. The mission emphasizes operational excellence and safety in offshore drilling but does not articulate a deeper purpose beyond being the best at what it does. '100 years of drilling excellence' is a track record, not a Just Cause. Community Impact (0/2): No evidence of significant charitable programs, community investment, or foundation activities beyond standard corporate philanthropy [4]. The company's ESG disclosures focus on environmental and governance compliance rather than distinctive community impact. Employee Retention (1/2): Glassdoor rating of 4.1/5 with 88% of employees recommending the company — significantly above industry average and among the highest in the offshore drilling sector [3]. This suggests strong employee satisfaction and retention, though specific turnover data or average tenure figures were not found. Insider Buying (0/2): No evidence of meaningful insider buying in the last 12 months; with a CEO transition underway (Keelan Adamson succeeded as President and CEO) and $5.12B in debt, insider buying signals are absent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a favorable forward valuation offsetting current profitability challenges. D/E of 61.2% is below the 70% target (score 1.0), though the absolute debt of $5.12B against $509M cash represents significant leverage for a cyclical business [1]. ROE of -18.7% is below the 0% floor (score 0.0, 2x weight), reflecting net losses driven by high interest expense on $5.12B debt despite strong operating cash flow of $995M [1]. Revenue growth of -2.2% YoY is below the 10% target (score 0.59), reflecting a temporary revenue dip between contract cycles. 5-year revenue CAGR of approximately 10% (score 1.0, 2x weight) reflects recovery from $2.56B in 2021 to $4.12B TTM. Forward P/E of 18.4 is below the 20 target (score 1.0), indicating the market expects a swing to profitability with forward EPS of $0.29 [1]. Profit margin of -40.2% scores 0.0. PEG ratio of 1.17 is between the 1.0 target and 3.0 floor (score 0.92, 2x weight). Daily dollar volume of $222M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Transocean has endured for 100 years in one of the most cyclical and capital-intensive industries on Earth — remarkable longevity that suggests some infinite game DNA. However, the company's identity is defined by operational excellence in offshore drilling rather than a transformative Just Cause, and it has shown minimal existential flexibility — still doing essentially the same thing it did decades ago, just at greater depths. The Valaris acquisition is a scale play to consolidate market share rather than a visionary pivot, and the company's massive debt load ($5.12B) constrains strategic flexibility. Strong employee satisfaction (88% Glassdoor recommend) and a planned CEO succession demonstrate organizational maturity, but these are hygiene factors rather than infinite game differentiators.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Transocean has operated for 100 years, demonstrating remarkable institutional endurance, and the FIRST values (Focus, Innovation, Results, Safety, Technical Leadership) have guided the company through multiple commodity cycles [3]. However, the cause is operational — being the best at offshore drilling — rather than purposeful in Sinek's sense. 'Drill the world's most challenging wells safely and efficiently' is a mission, not a Just Cause. The company exists to provide energy access through offshore drilling, but this purpose has never been articulated as a vision of a better future state; it's about maintaining the status quo of hydrocarbon production.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is notably positive — 4.1/5 rating and 88% recommendation rate, among the highest in the offshore drilling industry — suggesting employees value the work environment and culture [3]. The planned CEO succession from the board to Keelan Adamson shows organizational maturity and continuity. However, some reviews note that 'leadership tends to have an infallibility complex' and communication concerns persist at senior levels. The offshore drilling workforce has unique dynamics (remote rotational work, safety-critical operations) that may inflate recommendation rates compared to office-based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Valaris acquisition is fundamentally a scale and consolidation play — eliminating a competitor rather than learning from one [1]. No evidence of management commentary acknowledging rivals' strengths or using competitive dynamics as motivation for self-improvement. The competitive framing is about being the largest and most technically capable driller, which is finite-game language about dominance.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Transocean's core business model — contracting offshore drilling rigs — is fundamentally the same as it has been for decades [1][3]. The company has specialized deeper (ultra-deepwater) and invested in technology (SmartEquipment, hybrid power), but has not demonstrated willingness to transform the business in response to the energy transition or any other structural shift. The Valaris acquisition doubles down on the existing model rather than pivoting. In an era where the energy transition challenges the long-term viability of hydrocarbon-centric businesses, Transocean shows no strategic movement toward adjacencies like geothermal, carbon capture, or offshore wind.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Valaris acquisition is a bold strategic bet — consolidating the offshore drilling industry during a period of uncertainty, with $200M+ in expected synergies and a combined $11B backlog [1]. Management has maintained fleet investment and reactivated rigs during market recoveries rather than purely harvesting cash flow. However, the courage is tempered by the $5.12B debt load that constrains true strategic flexibility and by the fact that Transocean emerged from the Deepwater Horizon disaster (2010) primarily through financial engineering rather than transformative change.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Transocean at $5.24 is the world's largest offshore drilling contractor positioned at a cyclical inflection — Q1 2026 delivered $1.08B in drilling revenue, backlog stands at $6.7B (plus $1.0B Equinor pending approval), and the transformative Valaris acquisition creates a combined entity with $11B pro forma backlog and $200M+ annual cost synergies [1]. The company's fleet of ultra-deepwater drillships commands the highest dayrates in the industry, the fleet is over 90% committed for 2026, and forward P/E of 18.4 with PEG of 1.17 implies an expected swing to profitability. Operating cash flow of $995M and free cash flow of $873M demonstrate that the operational business generates substantial cash despite the legacy debt burden, and deepwater drilling demand is supported by multi-year development programs from majors like Equinor, Petrobras, and BP [1][3].</w:t>
      </w:r>
    </w:p>
    <w:p>
      <w:pPr>
        <w:spacing w:after="120"/>
      </w:pPr>
      <w:r>
        <w:rPr>
          <w:rFonts w:ascii="Calibri" w:hAnsi="Calibri"/>
          <w:b w:val="0"/>
          <w:color w:val="3A4A28"/>
          <w:sz w:val="20"/>
        </w:rPr>
        <w:t>The bear case centers on debt, cyclicality, and the energy transition. Transocean carries $5.12B in total debt against $509M cash, creating a balance sheet that is one oil price downturn away from distress — the company's near-bankruptcy experience during the 2015-2016 oil collapse is instructive [1]. Revenue declined 2.2% YoY despite a constructive offshore market, suggesting that contract rollovers at lower dayrates or scheduling gaps can pressure the top line even in favorable macro environments. Profit margin of -40.2% reflects the crushing weight of interest expense on the $5.12B debt, and while forward estimates project profitability, execution risk is high given the company's history of over-promising on the path to sustained earnings. The energy transition creates structural long-term headwinds: ESG-driven divestment by institutional investors pressures the stock and access to capital markets, while the shift toward renewables questions the 20+ year project economics that justify deepwater development spending [4]. The Valaris acquisition adds integration risk and more debt to an already leveraged balance sheet.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Valaris acquisition creates the world's largest offshore drilling company with $11B combined pro forma backlog, $200M+ annual cost synergies, and fleet rationalization opportunities that could accelerate the path to sustained profitability [1]</w:t>
      </w:r>
    </w:p>
    <w:p>
      <w:pPr>
        <w:spacing w:before="40" w:after="40"/>
        <w:ind w:left="283"/>
      </w:pPr>
      <w:r>
        <w:rPr>
          <w:rFonts w:ascii="Calibri" w:hAnsi="Calibri"/>
          <w:b/>
          <w:color w:val="4A6B25"/>
          <w:sz w:val="20"/>
        </w:rPr>
        <w:t xml:space="preserve">2. </w:t>
      </w:r>
      <w:r>
        <w:rPr>
          <w:rFonts w:ascii="Calibri" w:hAnsi="Calibri"/>
          <w:b w:val="0"/>
          <w:color w:val="3A4A28"/>
          <w:sz w:val="20"/>
        </w:rPr>
        <w:t>Forward P/E of 18.4 and PEG of 1.17 imply a swing to profitability (forward EPS $0.29 from trailing EPS of -$1.68), supported by $995M operating cash flow and rising ultra-deepwater dayrates as supply remains constrained from years of underinvestment [1]</w:t>
      </w:r>
    </w:p>
    <w:p>
      <w:pPr>
        <w:spacing w:before="40" w:after="40"/>
        <w:ind w:left="283"/>
      </w:pPr>
      <w:r>
        <w:rPr>
          <w:rFonts w:ascii="Calibri" w:hAnsi="Calibri"/>
          <w:b/>
          <w:color w:val="4A6B25"/>
          <w:sz w:val="20"/>
        </w:rPr>
        <w:t xml:space="preserve">3. </w:t>
      </w:r>
      <w:r>
        <w:rPr>
          <w:rFonts w:ascii="Calibri" w:hAnsi="Calibri"/>
          <w:b w:val="0"/>
          <w:color w:val="3A4A28"/>
          <w:sz w:val="20"/>
        </w:rPr>
        <w:t>Deepwater spending cycle supported by multi-year development programs from major operators — fleet is over 90% committed for 2026 with backlog visibility of approximately 6.5 quarters of revenue at current run 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debt burden of $5.12B against $509M cash creates acute balance sheet risk — an oil price downturn to $50-60/bbl could trigger covenant pressures and dilutive refinancings, as the 2015-2016 near-bankruptcy demonstrated [1]</w:t>
      </w:r>
    </w:p>
    <w:p>
      <w:pPr>
        <w:spacing w:before="40" w:after="40"/>
        <w:ind w:left="283"/>
      </w:pPr>
      <w:r>
        <w:rPr>
          <w:rFonts w:ascii="Calibri" w:hAnsi="Calibri"/>
          <w:b/>
          <w:color w:val="4A6B25"/>
          <w:sz w:val="20"/>
        </w:rPr>
        <w:t xml:space="preserve">2. </w:t>
      </w:r>
      <w:r>
        <w:rPr>
          <w:rFonts w:ascii="Calibri" w:hAnsi="Calibri"/>
          <w:b w:val="0"/>
          <w:color w:val="3A4A28"/>
          <w:sz w:val="20"/>
        </w:rPr>
        <w:t>Energy transition creates structural long-term headwinds as ESG-driven institutional divestment pressures the stock price and capital market access, while the shift toward renewables questions the 20-30 year project economics that justify deepwater development [4]</w:t>
      </w:r>
    </w:p>
    <w:p>
      <w:pPr>
        <w:spacing w:before="40" w:after="40"/>
        <w:ind w:left="283"/>
      </w:pPr>
      <w:r>
        <w:rPr>
          <w:rFonts w:ascii="Calibri" w:hAnsi="Calibri"/>
          <w:b/>
          <w:color w:val="4A6B25"/>
          <w:sz w:val="20"/>
        </w:rPr>
        <w:t xml:space="preserve">3. </w:t>
      </w:r>
      <w:r>
        <w:rPr>
          <w:rFonts w:ascii="Calibri" w:hAnsi="Calibri"/>
          <w:b w:val="0"/>
          <w:color w:val="3A4A28"/>
          <w:sz w:val="20"/>
        </w:rPr>
        <w:t>Valaris acquisition integration risk adds complexity and potentially more debt to an already leveraged balance sheet — the $200M+ synergy target requires execution, and offshore drilling M&amp;A has a mixed track record of value creation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Transocean's core business — operating ultra-deepwater drilling rigs in some of the most challenging physical environments on Earth — is structurally immune to AI substitution [1][3]. Offshore drilling requires massive physical infrastructure ($500M+ per drillship), experienced crews operating in extreme conditions, and regulatory compliance that AI cannot replace. If anything, AI-driven growth increases global energy demand through data center power consumption, indirectly supporting offshore oil production. The company deploys AI operationally (SmartEquipment, Dashboard AI) to improve its own efficiency, making it an AI beneficiary rather than victim. Scores 8 rather than 9 because while AI cannot substitute drilling operations, structural threats to Transocean come from the broader energy transition toward renewables — AI does not cause this, but it doesn't prevent it either [3]. AI Opportunity (1/1): SmartEquipment and Dashboard AI systems deployed in 2024-2025 across the fleet to predict equipment failures and boost rig uptime represent real AI-driven operational improvements, though the specific revenue or savings impact has not been quantified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Transocean Q1 2026 Earnings and Backlog Updates — $1.08B Drilling Revenue, Backlog $7.1B (May) to $6.7B (August), Valaris Acquisition Announced with $11B Combined Backlog — SEC 8-K, TipRanks, Quartr, May-August 2026</w:t>
      </w:r>
    </w:p>
    <w:p>
      <w:pPr>
        <w:spacing w:before="20" w:after="20"/>
        <w:ind w:left="170"/>
      </w:pPr>
      <w:r>
        <w:rPr>
          <w:rFonts w:ascii="Calibri" w:hAnsi="Calibri"/>
          <w:b/>
          <w:color w:val="4A6B25"/>
          <w:sz w:val="15"/>
        </w:rPr>
        <w:t xml:space="preserve">2. </w:t>
      </w:r>
      <w:r>
        <w:rPr>
          <w:rFonts w:ascii="Calibri" w:hAnsi="Calibri"/>
          <w:b w:val="0"/>
          <w:color w:val="3A4A28"/>
          <w:sz w:val="17"/>
        </w:rPr>
        <w:t>Transocean Revenue History and Financial Data — TTM Revenue $4.12B, Forward P/E 18.4, PEG 1.17, $5.12B Debt, $995M Operating Cash Flow — Yahoo Finance, yfinance, 2026</w:t>
      </w:r>
    </w:p>
    <w:p>
      <w:pPr>
        <w:spacing w:before="20" w:after="20"/>
        <w:ind w:left="170"/>
      </w:pPr>
      <w:r>
        <w:rPr>
          <w:rFonts w:ascii="Calibri" w:hAnsi="Calibri"/>
          <w:b/>
          <w:color w:val="4A6B25"/>
          <w:sz w:val="15"/>
        </w:rPr>
        <w:t xml:space="preserve">3. </w:t>
      </w:r>
      <w:r>
        <w:rPr>
          <w:rFonts w:ascii="Calibri" w:hAnsi="Calibri"/>
          <w:b w:val="0"/>
          <w:color w:val="3A4A28"/>
          <w:sz w:val="17"/>
        </w:rPr>
        <w:t>Transocean Leadership and Culture — CEO Keelan Adamson, Glassdoor 4.1/5, 88% Recommend, SmartEquipment and Dashboard AI Deployment, FIRST Values — Glassdoor, LinkedIn, MatrixBCG, Seeking Alpha, 2025-2026</w:t>
      </w:r>
    </w:p>
    <w:p>
      <w:pPr>
        <w:spacing w:before="20" w:after="20"/>
        <w:ind w:left="170"/>
      </w:pPr>
      <w:r>
        <w:rPr>
          <w:rFonts w:ascii="Calibri" w:hAnsi="Calibri"/>
          <w:b/>
          <w:color w:val="4A6B25"/>
          <w:sz w:val="15"/>
        </w:rPr>
        <w:t xml:space="preserve">4. </w:t>
      </w:r>
      <w:r>
        <w:rPr>
          <w:rFonts w:ascii="Calibri" w:hAnsi="Calibri"/>
          <w:b w:val="0"/>
          <w:color w:val="3A4A28"/>
          <w:sz w:val="17"/>
        </w:rPr>
        <w:t>Transocean ESG and Energy Transition Risk — ESG Divestment Pressures, Governance Committee Oversight, Fossil Fuel Investment Community Scrutiny — SEC DEF 14A, 10-K, Academic Research,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