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RITM</w:t>
      </w:r>
      <w:r>
        <w:rPr>
          <w:rFonts w:ascii="Calibri" w:hAnsi="Calibri"/>
          <w:b/>
          <w:color w:val="1A2010"/>
          <w:sz w:val="40"/>
        </w:rPr>
        <w:t xml:space="preserve">  Rithm Capital Corp.</w:t>
      </w:r>
    </w:p>
    <w:p>
      <w:pPr>
        <w:spacing w:after="120"/>
      </w:pPr>
      <w:r>
        <w:rPr>
          <w:rFonts w:ascii="Calibri" w:hAnsi="Calibri"/>
          <w:b/>
          <w:color w:val="6E8450"/>
          <w:sz w:val="18"/>
        </w:rPr>
        <w:t>DIVIDEND SLEEVE · 2026-10-08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Mortgage · NYQ · United States</w:t>
      </w:r>
    </w:p>
    <w:p>
      <w:pPr>
        <w:spacing w:after="80"/>
      </w:pPr>
      <w:r>
        <w:rPr>
          <w:rFonts w:ascii="Calibri" w:hAnsi="Calibri"/>
          <w:b w:val="0"/>
          <w:color w:val="3A4A28"/>
          <w:sz w:val="20"/>
        </w:rPr>
        <w:t>Rithm Capital Corp. is an asset manager focused on real estate, credit, and financial services operating through Origination and Servicing, Residential Transitional Lending, and Asset Management segments. Formerly known as New Residential Investment Corp., the company manages approximately $61 billion in assets through subsidiaries including Newrez (mortgage origination and servicing), Sculptor Capital Management (alternatives), and Crestline (direct lending and insurance). Incorporated in 2011 and headquartered in New York with 7,240 employees, Rithm reported Q2 2026 GAAP net income of only $20.2M (down 93% YoY) despite earnings available for distribution of $0.60 per share.</w:t>
      </w:r>
    </w:p>
    <w:p>
      <w:r>
        <w:rPr>
          <w:rFonts w:ascii="Calibri" w:hAnsi="Calibri"/>
          <w:b/>
          <w:color w:val="6E8450"/>
          <w:sz w:val="18"/>
        </w:rPr>
        <w:t>7,240 Employees · https://www.rithmcap.com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Rithm executed a significant transformation from mortgage REIT to diversified asset manager through serial acquisitions — the $1B Sculptor Capital acquisition in 2024, the Crestline acquisition in 2025 adding direct lending and insurance capabilities, and the Paramount Group acquisition enhancing commercial real estate expertise [2]. AUM grew from approximately $36B to $61B in one year, a meaningful strategic pivot. However, acquisition-driven growth is financially engineered rather than organically innovative. AI Deployment (0/2): No evidence of AI products shipping to customers or specific AI-driven cost savings quantified. The company does not discuss AI deployment in its public disclosures. Market Share (1/2): With $61B in AUM, Rithm is a mid-tier alternative asset manager — meaningful but far from industry leaders like Blackstone ($1T+), Apollo, or Brookfield. Newrez is one of the larger non-bank mortgage servicers. Product Pipeline (1/2): Sculptor integration is ongoing with $37B AUM and $600M in Q1 2026 gross inflows, and Crestline adds capabilities in direct lending, fund liquidity, and insurance. These represent incremental expansion, not breakthrough products. R&amp;D Intensity (0/1): Financial services company with no reported R&amp;D spending; technology investment is below industry average relative to fintech or technology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Rithm's stated mission is to 'generate attractive risk-adjusted returns in all interest rate environments through a complementary portfolio of investments and operating businesses' [3]. This is purely financial — it describes a business strategy, not a purpose. There is no articulation of why Rithm exists beyond making money for shareholders. The mission is interchangeable with any financial holding company. Community Impact (0/2): The company's ESG impact page exists but explicitly states that Rithm 'does not pursue an ESG-based investment strategy' [3]. General mentions of employee engagement and community investment are provided without specific dollar amounts, programs, or measurable impact. Employee Retention (0/2): No voluntary turnover, average tenure, or employee satisfaction data publicly available. Crestline's founder described Rithm as having a 'collaborative culture,' but this is a single post-acquisition comment, not verified cultural data. Insider Buying (0/2): Net insider selling — CEO Michael Nierenberg sold 301,548 shares at $11.00 in November 2025, directors sold shares in May and August 2026. No meaningful insider purchases identified. Insider ownership is only 0.8% of shares outstanding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Rithm's financial profile reflects the challenges of a leveraged mortgage REIT. D/E of 387.6% far exceeds the 300% floor (score 0.0), typical of REITs that use substantial leverage to generate returns [1]. The Forward P/E of 3.64 is exceptionally low versus the 20x target (score 1.0), reflecting market skepticism about earnings sustainability. Revenue growth is 9.7% YoY (score 0.99). ROE of 5.6% (score 0.37) and profit margin of 10.8% (score 0.54) are below targets. The dividend profile is mixed: 13 consecutive years of payments since founding in 2013 (score 1.0, 2x weight) provides track record, but the payout ratio of 166.7% exceeds the 100% floor (score 0.0), consecutive years of growth is 0 (score 0.0) as the $0.25/quarter rate has been flat since 2022, and the 5-year dividend growth CAGR of approximately 1.3% (score 0.22, 2x weight) is minimal [1][3]. Daily dollar volume of approximately $49.5M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Rithm Capital operates with a distinctly finite mindset — the company exists to generate financial returns through leveraged investments and serial acquisitions, with no articulated purpose beyond risk-adjusted returns. The transformation from New Residential Investment Corp. to Rithm Capital via the Sculptor, Crestline, and Paramount acquisitions demonstrates strategic opportunism but not purpose-driven leadership. CEO Nierenberg's approach of acquiring asset management platforms to diversify revenue is shrewd financial engineering, not a Just Cause. The company plays to profit from interest rate differentials and management fees, not to advance an enduring vision.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Rithm has no Just Cause. The mission to 'generate attractive risk-adjusted returns in all interest rate environments' is a financial objective, not a vision of a better future [3]. The company exists to arbitrage interest rates and collect management fees. There is no articulated purpose that would inspire people to sacrifice or that describes a future state worth pursuing beyond quarterly dividends. This is prototypically finite.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distinctive cultural practices, employee empowerment, or organizational trust across Rithm's 7,240-person workforce. The rapid acquisition of multiple companies (Sculptor, Crestline, Paramount) creates integration challenges and potential cultural friction. CEO Nierenberg sold over 300,000 shares while asking employees to execute a complex multi-integration strategy, which could undermine trust. The company's ESG page provides general statements about employee engagement without specifics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Rithm's competitive language focuses on AUM growth, market share in mortgage servicing, and return metrics — standard finite game measures in the financial services industry. No evidence of acknowledging competitors' strengths or using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mortgage REIT (New Residential Investment Corp.) to diversified asset manager (Rithm Capital) is a significant strategic shift — acquiring Sculptor, Crestline, and Paramount fundamentally changed the company's revenue model from spread income to management fees and investment returns [2]. However, this evolution was driven by financial opportunity (diversifying away from interest rate sensitivity) rather than a Just Cause, and the execution remains unproven with GAAP earnings declining 93% YoY in Q2 2026.</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$1B Sculptor acquisition and subsequent Crestline and Paramount deals were bold strategic bets that fundamentally reshaped the business, requiring significant capital commitment and integration risk [2]. Maintaining the $0.25 quarterly dividend through the transformation demonstrates commitment to capital returns. However, CEO Nierenberg selling over $3.3M in shares while asking the market to support an unproven transformation sends a mixed signal about long-term conviction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Rithm Capital at $8.53 with a $4.8B market cap offers an eye-catching 11.7% dividend yield and trades at just 3.6x forward earnings and 0.69x book value ($12.33/share). The transformation to a diversified asset manager is ambitious — AUM grew 69% YoY to $61B, the Sculptor platform generated $600M in Q1 2026 gross inflows, and earnings available for distribution of $0.60/share in Q2 2026 exceeded the $0.25 quarterly dividend by a comfortable margin [1][2]. CEO Nierenberg has executed a clear strategic vision to evolve from a mortgage REIT to a multi-strategy alternative asset manager, and the book value of $12.33 provides a 38% margin of safety versus the current stock price.</w:t>
      </w:r>
    </w:p>
    <w:p>
      <w:pPr>
        <w:spacing w:after="120"/>
      </w:pPr>
      <w:r>
        <w:rPr>
          <w:rFonts w:ascii="Calibri" w:hAnsi="Calibri"/>
          <w:b w:val="0"/>
          <w:color w:val="3A4A28"/>
          <w:sz w:val="20"/>
        </w:rPr>
        <w:t>The bear case is severe. GAAP net income collapsed 93% YoY to $20.2M in Q2 2026, revealing the fragility beneath the non-GAAP earnings available for distribution figure. D/E of 388% reflects extreme leverage that amplifies both gains and losses, and the 166.7% GAAP payout ratio means the dividend is not covered by reported earnings [1]. The $0.25 quarterly dividend has been flat since 2022 — there has been no growth for four years despite AUM expansion, because earnings volatility prevents management from raising the payout. The prior dividend cut during COVID (from $0.50 to $0.05 in Q1 2020) demonstrates management's willingness to slash payouts under stress. ROE of 5.6% and profit margin of 10.8% are anemic, and the company's dependence on continued access to debt markets makes it vulnerable to a credit tightening cycle [2]. Insider selling by the CEO and directors while asking shareholders to hold a deeply leveraged financial vehicle raises alignment concerns. The integration of four major acquisitions (Sculptor, Crestline, Paramount, plus existing Newrez operations) creates substantial operational complexity and execution risk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Alternative asset management platform scaling — Sculptor's $37B AUM with $600M quarterly inflows and Crestline's direct lending and insurance capabilities could drive fee-based revenue growth that reduces dependence on volatile spread income [2]</w:t>
      </w:r>
    </w:p>
    <w:p>
      <w:pPr>
        <w:spacing w:before="40" w:after="40"/>
        <w:ind w:left="283"/>
      </w:pPr>
      <w:r>
        <w:rPr>
          <w:rFonts w:ascii="Calibri" w:hAnsi="Calibri"/>
          <w:b/>
          <w:color w:val="4A6B25"/>
          <w:sz w:val="20"/>
        </w:rPr>
        <w:t xml:space="preserve">2. </w:t>
      </w:r>
      <w:r>
        <w:rPr>
          <w:rFonts w:ascii="Calibri" w:hAnsi="Calibri"/>
          <w:b w:val="0"/>
          <w:color w:val="3A4A28"/>
          <w:sz w:val="20"/>
        </w:rPr>
        <w:t>Book value discount narrowing — the stock trades at 0.69x book value of $12.33, and successful integration of acquired platforms could drive re-rating toward book value as the market recognizes the diversified earnings base [1]</w:t>
      </w:r>
    </w:p>
    <w:p>
      <w:pPr>
        <w:spacing w:before="40" w:after="40"/>
        <w:ind w:left="283"/>
      </w:pPr>
      <w:r>
        <w:rPr>
          <w:rFonts w:ascii="Calibri" w:hAnsi="Calibri"/>
          <w:b/>
          <w:color w:val="4A6B25"/>
          <w:sz w:val="20"/>
        </w:rPr>
        <w:t xml:space="preserve">3. </w:t>
      </w:r>
      <w:r>
        <w:rPr>
          <w:rFonts w:ascii="Calibri" w:hAnsi="Calibri"/>
          <w:b w:val="0"/>
          <w:color w:val="3A4A28"/>
          <w:sz w:val="20"/>
        </w:rPr>
        <w:t>Interest rate normalization benefiting mortgage origination volumes and MSR valuations — a stable or declining rate environment could simultaneously boost origination revenue and reduce MSR fair value volatility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earnings collapse — Q2 2026 net income of $20.2M (down 93% YoY) reveals that the 11.7% dividend yield depends on non-GAAP 'earnings available for distribution' rather than sustainable reported profits, with a 166.7% GAAP payout ratio that is structurally unsustainable [1]</w:t>
      </w:r>
    </w:p>
    <w:p>
      <w:pPr>
        <w:spacing w:before="40" w:after="40"/>
        <w:ind w:left="283"/>
      </w:pPr>
      <w:r>
        <w:rPr>
          <w:rFonts w:ascii="Calibri" w:hAnsi="Calibri"/>
          <w:b/>
          <w:color w:val="4A6B25"/>
          <w:sz w:val="20"/>
        </w:rPr>
        <w:t xml:space="preserve">2. </w:t>
      </w:r>
      <w:r>
        <w:rPr>
          <w:rFonts w:ascii="Calibri" w:hAnsi="Calibri"/>
          <w:b w:val="0"/>
          <w:color w:val="3A4A28"/>
          <w:sz w:val="20"/>
        </w:rPr>
        <w:t>Extreme leverage at 388% D/E makes the business model dependent on continued access to debt markets — a credit tightening cycle, ratings downgrade, or liquidity crisis could force asset sales or a dividend cut similar to the COVID-era 90% reduction from $0.50 to $0.05 quarterly [1][2]</w:t>
      </w:r>
    </w:p>
    <w:p>
      <w:pPr>
        <w:spacing w:before="40" w:after="40"/>
        <w:ind w:left="283"/>
      </w:pPr>
      <w:r>
        <w:rPr>
          <w:rFonts w:ascii="Calibri" w:hAnsi="Calibri"/>
          <w:b/>
          <w:color w:val="4A6B25"/>
          <w:sz w:val="20"/>
        </w:rPr>
        <w:t xml:space="preserve">3. </w:t>
      </w:r>
      <w:r>
        <w:rPr>
          <w:rFonts w:ascii="Calibri" w:hAnsi="Calibri"/>
          <w:b w:val="0"/>
          <w:color w:val="3A4A28"/>
          <w:sz w:val="20"/>
        </w:rPr>
        <w:t>Multi-integration execution risk with four major acquisitions (Sculptor, Crestline, Paramount, Newrez) creating organizational complexity, cultural friction, and management bandwidth constraints while GAAP profitability deteriorates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Rithm's core businesses — mortgage origination and servicing, alternative asset management, and real estate credit — involve complex, regulated, relationship-driven activities with meaningful defensive moats [2]. Mortgage servicing requires regulatory compliance, escrow management, and customer service infrastructure that AI cannot fully replace. Alternative asset management through Sculptor and Crestline depends on proprietary investment expertise, institutional relationships, and fiduciary judgment. However, some functions face AI exposure: mortgage underwriting, document processing, and basic credit analysis could be partially automated by AI tools, and AI-powered fintech competitors could compress origination margins. Analysts have not flagged AI as an existential risk but acknowledge automation pressure on mortgage processing costs. AI Opportunity (0/1): No evidence of meaningful AI revenue. The company does not discuss AI-related products, services, or cost savings in public disclosures.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Rithm Capital Q2 2026 Earnings — GAAP Net Income $20.2M (-93% YoY), EAD $0.60/Share, Revenue $1.28B, AUM $61B (+69% YoY) — Benzinga, ChartMill, CNHI News, Digrin, August 2026</w:t>
      </w:r>
    </w:p>
    <w:p>
      <w:pPr>
        <w:spacing w:before="20" w:after="20"/>
        <w:ind w:left="170"/>
      </w:pPr>
      <w:r>
        <w:rPr>
          <w:rFonts w:ascii="Calibri" w:hAnsi="Calibri"/>
          <w:b/>
          <w:color w:val="4A6B25"/>
          <w:sz w:val="15"/>
        </w:rPr>
        <w:t xml:space="preserve">2. </w:t>
      </w:r>
      <w:r>
        <w:rPr>
          <w:rFonts w:ascii="Calibri" w:hAnsi="Calibri"/>
          <w:b w:val="0"/>
          <w:color w:val="3A4A28"/>
          <w:sz w:val="17"/>
        </w:rPr>
        <w:t>Rithm Capital Strategic Transformation — Sculptor Acquisition ($1B), Crestline and Paramount Acquisitions, AUM Growth to $100B+ Investable Assets — Insider Monkey Q1 2026 Earnings Call, Yahoo Finance, Nasdaq, Panabee, 2025-2026</w:t>
      </w:r>
    </w:p>
    <w:p>
      <w:pPr>
        <w:spacing w:before="20" w:after="20"/>
        <w:ind w:left="170"/>
      </w:pPr>
      <w:r>
        <w:rPr>
          <w:rFonts w:ascii="Calibri" w:hAnsi="Calibri"/>
          <w:b/>
          <w:color w:val="4A6B25"/>
          <w:sz w:val="15"/>
        </w:rPr>
        <w:t xml:space="preserve">3. </w:t>
      </w:r>
      <w:r>
        <w:rPr>
          <w:rFonts w:ascii="Calibri" w:hAnsi="Calibri"/>
          <w:b w:val="0"/>
          <w:color w:val="3A4A28"/>
          <w:sz w:val="17"/>
        </w:rPr>
        <w:t>Rithm Capital Insider Trading, Dividend History, and ESG — CEO Sale 301K Shares, Flat $0.25 Quarterly Since 2022, COVID Dividend Cut, ESG Impact Page — InsiderTrades, Benzinga, Digrin, BusinessWire, Rithm Impact Page,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