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RLX</w:t>
      </w:r>
      <w:r>
        <w:rPr>
          <w:rFonts w:ascii="Calibri" w:hAnsi="Calibri"/>
          <w:b/>
          <w:color w:val="1A2010"/>
          <w:sz w:val="40"/>
        </w:rPr>
        <w:t xml:space="preserve">  RLX Technology Inc.</w:t>
      </w:r>
    </w:p>
    <w:p>
      <w:pPr>
        <w:spacing w:after="120"/>
      </w:pPr>
      <w:r>
        <w:rPr>
          <w:rFonts w:ascii="Calibri" w:hAnsi="Calibri"/>
          <w:b/>
          <w:color w:val="6E8450"/>
          <w:sz w:val="18"/>
        </w:rPr>
        <w:t>GROWTH SLEEVE · 2026-09-09 · Inspire: -1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Tobacco · NYSE · China</w:t>
      </w:r>
    </w:p>
    <w:p>
      <w:pPr>
        <w:spacing w:after="80"/>
      </w:pPr>
      <w:r>
        <w:rPr>
          <w:rFonts w:ascii="Calibri" w:hAnsi="Calibri"/>
          <w:b w:val="0"/>
          <w:color w:val="3A4A28"/>
          <w:sz w:val="20"/>
        </w:rPr>
        <w:t>RLX Technology designs, manufactures, and sells electronic vapor products under the RELX brand, primarily in China and increasingly in international markets. The company is the dominant e-cigarette brand in China's regulated market and has expanded aggressively overseas, with international revenue now comprising approximately 70% of total sales following the acquisition of a European e-vapor company in May 2025. RLX reported Q2 FY2026 revenue of RMB 1.01B (+14.8% YoY) with gross margin expansion to 35.4% and its 11th consecutive quarter of positive non-GAAP operating profit. Market cap is approximately $2.2B with $1.4B in net cash.</w:t>
      </w:r>
    </w:p>
    <w:p>
      <w:r>
        <w:rPr>
          <w:rFonts w:ascii="Calibri" w:hAnsi="Calibri"/>
          <w:b/>
          <w:color w:val="6E8450"/>
          <w:sz w:val="18"/>
        </w:rPr>
        <w:t>897 Employees · https://www.relxtech.com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RLX has maintained market leadership in China's legal e-cigarette market through the 2022-2023 regulatory crackdown that eliminated most competitors, and executed a strategic pivot to international markets now contributing ~70% of revenue [1]. The May 2025 acquisition of a European e-vapor company accelerated geographic diversification, and Q2 FY2026 delivered the 11th consecutive quarter of positive non-GAAP operating profit with gross margin expanding to 35.4% [1]. Multiple brand portfolio (RELX, Phantom, Zeus, Feiliu) targets distinct market segments. AI Deployment (0/2): No meaningful AI deployment identified; RLX operates as a consumer hardware company focused on product design, regulatory compliance, and distribution rather than technology-driven innovation [2]. Market Share (2/2): RLX holds dominant market share in China's legal e-cigarette market, estimated at 60%+ of the regulated segment, and achieved the top S&amp;P Global ESG rating among global e-cigarette companies for two consecutive years [3]. International market share is growing rapidly through the European acquisition and organic expansion into Southeast Asia and the Middle East. Product Pipeline (1/2): European acquisition provides a growth platform and distribution infrastructure for deeper EU/UK penetration, but the product pipeline remains limited to incremental device improvements within a single product category [1]. R&amp;D Intensity (1/1): R&amp;D investment supports new device development, compliance with China's national e-cigarette standard, harm reduction science, and international regulatory adaptation across multiple jurisdictions.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RLX positions its mission around harm reduction for adult smokers — providing safer alternatives to combustible cigarettes — which has legitimate public health support from organizations like Public Health England and the Royal College of Physicians [3]. However, the nicotine addiction business model fundamentally constrains inspirational credibility, and the Inspire Insight negative attribution for Tobacco reflects this tension. The mission has survived the existential test of China's regulatory crackdown, but it lacks the breadth and societal ambition of missions in healthcare or clean energy. Community Impact (1/2): RLX achieved the top S&amp;P Global ESG rating among e-cigarette companies and publishes annual CSR reports covering responsible marketing, age-verification systems, and environmental practices [3]. However, the vaping industry broadly faces criticism for youth nicotine addiction and environmental concerns around non-biodegradable devices. Employee Retention (1/2): Management team has strong average tenure of 7.4 years and board tenure of 5.3 years in a company founded in 2018, indicating exceptional leadership stability [2]. The lean workforce of 897 employees enables tight organizational cohesion. Insider Buying (0/2): CEO Kate Ying holds 25.34% of shares worth ~$738M, representing significant founder-equity alignment [2]. However, no evidence of active open-market insider purchasing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RLX demonstrates a fortress balance sheet with D/E of just 1%, reflecting $1.43B in cash against only $27.4M in debt — a net cash position of $1.15 per share against a $1.80 stock price [4]. Profit margin of 25.49% well exceeds the 20% target, boosted by investment income on the large cash hoard (operating margin is 9.08%) [4]. Forward P/E of 14.35x is attractively below the 20x target, and the estimated PEG ratio of ~1.09 is near the 1.0 target, both scoring strongly [4]. Q2 revenue grew 14.8% YoY on an organic basis (excluding Q1's 96.2% growth that included regulatory pull-forward effects), exceeding the 10% target [1]. The primary drag is ROE of 5.89%, well below the 15% target, depressed by the massive equity base from retained cash — a capital allocation issue rather than a profitability problem [4]. The stock clears the liquidity floor with daily trading value of ~$4.7M.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RLX demonstrates mixed infinite-game characteristics. The company showed genuine existential flexibility by pivoting from a China-centric model to an international-first business (~70% of revenue) when Chinese regulations threatened its domestic market, and the European acquisition shows willingness to evolve the business model [1]. However, the fundamental business of profiting from nicotine addiction constrains the just cause, and leadership has prioritized near-term shareholder returns (near-100% payout ratio) over long-term reinvestment. CEO Kate Ying's continued leadership since founding provides continuity, but the narrow product focus and industry-wide reputational challenges limit the infinite game assessment.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RLX's harm reduction mission — providing safer alternatives to combustible cigarettes for adult smokers — has legitimate scientific support from public health bodies [3]. The mission survived the existential test of China's 2022 regulatory crackdown, with the company choosing to comply with national standards rather than pursue gray-market alternatives. However, the nicotine addiction business model inherently constrains the just cause framing, and the Inspire Insight Tobacco attribution reflects this fundamental tension. The mission is forward-looking but lacks the breadth and societal ambition that would earn higher marks.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Management team stability is exceptional with 7.4 years average tenure in a company founded in 2018, indicating that core leadership has remained intact since founding [2]. CEO Kate Ying's background at Uber China/Didi Chuxing suggests experience building high-performance teams in competitive environments. The lean workforce of 897 employees enables direct communication and organizational cohesion. Limited visibility into broader organizational culture due to minimal public data on employee satisfaction or internal trust-building practices.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RLX competes against established tobacco companies (Philip Morris/IQOS, BAT/Vuse), Chinese competitors (SMOORE), and numerous regional players. The decision to acquire a European competitor rather than compete head-on in unfamiliar markets shows competitive self-awareness [1]. The multi-brand strategy (RELX, Phantom, Zeus, Feiliu) targeting different segments suggests awareness of rivals' positioning. However, no public evidence suggests leadership explicitly frames competition as a learning opportunity.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RLX demonstrated significant strategic flexibility by pivoting from a China-centric business model to a globally diversified operation when China's 2022 e-cigarette national standard severely constrained the domestic market [1]. International revenue grew from a small fraction to ~70% of total sales within three years, representing a fundamental business model transformation. The May 2025 European e-vapor acquisition accelerated this pivot, requiring integration of foreign operations, regulatory compliance across multiple jurisdictions, and adaptation of marketing strategies to local markets. While driven by external regulatory pressure rather than purely by choice, the speed and success of execution demonstrate genuine organizational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RLX demonstrated conviction in maintaining operations and investing in international expansion while the Chinese domestic market faced regulatory headwinds that forced most competitors to exit [1]. The European acquisition required significant capital deployment with uncertain returns. However, the near-100% dividend payout ratio suggests prioritization of near-term shareholder returns over bold reinvestment in growth, and the $1.4B cash hoard has not been aggressively deployed for strategic transformation — the company's courage has been more reactive (surviving regulation) than proactive (pursuing ambitious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RLX Technology at 14.35x forward earnings offers deep value exposure to the global e-vapor market's secular growth, backed by a fortress balance sheet with $1.4B net cash ($1.15/share vs. $1.80 stock price) [4]. Q2 FY2026 delivered the 11th consecutive quarter of positive non-GAAP operating profit with revenue up 14.8% YoY and gross margin expanding to 35.4% (from 28.6% prior year), demonstrating improving unit economics as international operations scale [1]. The successful pivot to international markets (~70% of revenue) de-risks the China regulatory overhang, and the European acquisition provides a platform for deeper penetration into high-margin EU and UK markets. The PEG ratio of ~1.09 suggests the market is reasonably pricing the 13%+ annual earnings growth trajectory, while the massive cash position provides substantial downside protection — net cash represents roughly 64% of market cap.</w:t>
      </w:r>
    </w:p>
    <w:p>
      <w:pPr>
        <w:spacing w:after="120"/>
      </w:pPr>
      <w:r>
        <w:rPr>
          <w:rFonts w:ascii="Calibri" w:hAnsi="Calibri"/>
          <w:b w:val="0"/>
          <w:color w:val="3A4A28"/>
          <w:sz w:val="20"/>
        </w:rPr>
        <w:t>The bear case centers on the inherent regulatory and reputational risks of the nicotine industry. China's evolving e-cigarette regulations could further restrict the domestic market, which still contributes ~30% of revenue, and international expansion faces a patchwork of regulatory regimes — the EU's Tobacco Products Directive, potential FDA enforcement actions, and country-level bans that could close markets abruptly [3]. ROE of 5.89% reflects capital inefficiency from the oversized cash position, and the near-100% dividend payout ratio is unsustainable — it either requires a dividend cut (damaging yield-focused holders) or prevents reinvestment in growth [4]. As a China-based ADR, RLX carries structural risks including VIE structure uncertainty, potential HFCAA-related delisting, and limited corporate governance transparency for US-listed investors. The Inspire Impact Score of -1 (MIXED) with Tobacco as the sole negative attribution will limit faith-based investor participation, and industry-wide youth vaping backlash could accelerate regulatory tightening globally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Gross margin expansion to 35.4% in Q2 (from 28.6% prior year) driven by operating leverage and international pricing power signals improving unit economics as the business scales toward profitability inflection [1]</w:t>
      </w:r>
    </w:p>
    <w:p>
      <w:pPr>
        <w:spacing w:before="40" w:after="40"/>
        <w:ind w:left="283"/>
      </w:pPr>
      <w:r>
        <w:rPr>
          <w:rFonts w:ascii="Calibri" w:hAnsi="Calibri"/>
          <w:b/>
          <w:color w:val="4A6B25"/>
          <w:sz w:val="20"/>
        </w:rPr>
        <w:t xml:space="preserve">2. </w:t>
      </w:r>
      <w:r>
        <w:rPr>
          <w:rFonts w:ascii="Calibri" w:hAnsi="Calibri"/>
          <w:b w:val="0"/>
          <w:color w:val="3A4A28"/>
          <w:sz w:val="20"/>
        </w:rPr>
        <w:t>International revenue at ~70% of total creates a diversified growth platform with European acquisition providing distribution infrastructure for continued market share gains in EU, UK, and emerging markets [1]</w:t>
      </w:r>
    </w:p>
    <w:p>
      <w:pPr>
        <w:spacing w:before="40" w:after="40"/>
        <w:ind w:left="283"/>
      </w:pPr>
      <w:r>
        <w:rPr>
          <w:rFonts w:ascii="Calibri" w:hAnsi="Calibri"/>
          <w:b/>
          <w:color w:val="4A6B25"/>
          <w:sz w:val="20"/>
        </w:rPr>
        <w:t xml:space="preserve">3. </w:t>
      </w:r>
      <w:r>
        <w:rPr>
          <w:rFonts w:ascii="Calibri" w:hAnsi="Calibri"/>
          <w:b w:val="0"/>
          <w:color w:val="3A4A28"/>
          <w:sz w:val="20"/>
        </w:rPr>
        <w:t>Massive net cash position of $1.4B ($1.15/share) provides optionality for accretive M&amp;A, share buybacks, or special dividends that could catalyze re-rating of a stock trading at only 36% premium to cash value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Regulatory risk across all major markets — China could further restrict domestic e-cigarettes, EU could ban flavored products, and FDA enforcement actions could limit U.S. market access, creating multiple vectors of revenue disruption [3]</w:t>
      </w:r>
    </w:p>
    <w:p>
      <w:pPr>
        <w:spacing w:before="40" w:after="40"/>
        <w:ind w:left="283"/>
      </w:pPr>
      <w:r>
        <w:rPr>
          <w:rFonts w:ascii="Calibri" w:hAnsi="Calibri"/>
          <w:b/>
          <w:color w:val="4A6B25"/>
          <w:sz w:val="20"/>
        </w:rPr>
        <w:t xml:space="preserve">2. </w:t>
      </w:r>
      <w:r>
        <w:rPr>
          <w:rFonts w:ascii="Calibri" w:hAnsi="Calibri"/>
          <w:b w:val="0"/>
          <w:color w:val="3A4A28"/>
          <w:sz w:val="20"/>
        </w:rPr>
        <w:t>Capital allocation discipline concerns as $1.4B cash hoard depresses ROE to 5.89% and the near-100% dividend payout ratio is unsustainable, raising questions about whether management will deploy capital productively [4]</w:t>
      </w:r>
    </w:p>
    <w:p>
      <w:pPr>
        <w:spacing w:before="40" w:after="40"/>
        <w:ind w:left="283"/>
      </w:pPr>
      <w:r>
        <w:rPr>
          <w:rFonts w:ascii="Calibri" w:hAnsi="Calibri"/>
          <w:b/>
          <w:color w:val="4A6B25"/>
          <w:sz w:val="20"/>
        </w:rPr>
        <w:t xml:space="preserve">3. </w:t>
      </w:r>
      <w:r>
        <w:rPr>
          <w:rFonts w:ascii="Calibri" w:hAnsi="Calibri"/>
          <w:b w:val="0"/>
          <w:color w:val="3A4A28"/>
          <w:sz w:val="20"/>
        </w:rPr>
        <w:t>China ADR structural risks including VIE structure uncertainty, potential HFCAA delisting, and limited corporate governance transparency, compounded by industry-wide youth vaping backlash that could accelerate regulatory tightening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RLX's core business — designing, manufacturing, and distributing physical nicotine delivery devices — is structurally protected from AI disruption [1]. Physical product manufacturing, global supply chain management, and navigation of complex regulatory frameworks (China's national e-cigarette standard, EU Tobacco Products Directive, international compliance) create barriers that AI cannot easily replicate or bypass. Brand loyalty among adult smokers switching to vapor products and established distribution networks create structural moats. However, AI-driven competitors could accelerate product design cycles or optimize supply chains more efficiently, and long-term risk exists if AI-powered pharmaceutical research develops superior nicotine cessation alternatives that reduce the addressable market for harm-reduction devices. AI Opportunity (1/1): Modest but real AI opportunity exists in supply chain optimization across 60+ international markets, demand forecasting, regulatory compliance monitoring across multiple jurisdictions, and consumer behavior analytics [1]. RLX's $1.4B cash position provides ample resources to invest in these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Tobacco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RLX Technology Q2 FY2026 Earnings Call — Revenue RMB 1.01B (+14.8% YoY), Gross Margin 35.4%, Non-GAAP Operating Profit +28.8%, International ~70% of Revenue, August 2026</w:t>
      </w:r>
    </w:p>
    <w:p>
      <w:pPr>
        <w:spacing w:before="20" w:after="20"/>
        <w:ind w:left="170"/>
      </w:pPr>
      <w:r>
        <w:rPr>
          <w:rFonts w:ascii="Calibri" w:hAnsi="Calibri"/>
          <w:b/>
          <w:color w:val="4A6B25"/>
          <w:sz w:val="15"/>
        </w:rPr>
        <w:t xml:space="preserve">2. </w:t>
      </w:r>
      <w:r>
        <w:rPr>
          <w:rFonts w:ascii="Calibri" w:hAnsi="Calibri"/>
          <w:b w:val="0"/>
          <w:color w:val="3A4A28"/>
          <w:sz w:val="17"/>
        </w:rPr>
        <w:t>RLX Technology Management &amp; Leadership — CEO Kate Ying (25.34% ownership), Management Tenure 7.4 Years, Board Tenure 5.3 Years — Simply Wall St, September 2026</w:t>
      </w:r>
    </w:p>
    <w:p>
      <w:pPr>
        <w:spacing w:before="20" w:after="20"/>
        <w:ind w:left="170"/>
      </w:pPr>
      <w:r>
        <w:rPr>
          <w:rFonts w:ascii="Calibri" w:hAnsi="Calibri"/>
          <w:b/>
          <w:color w:val="4A6B25"/>
          <w:sz w:val="15"/>
        </w:rPr>
        <w:t xml:space="preserve">3. </w:t>
      </w:r>
      <w:r>
        <w:rPr>
          <w:rFonts w:ascii="Calibri" w:hAnsi="Calibri"/>
          <w:b w:val="0"/>
          <w:color w:val="3A4A28"/>
          <w:sz w:val="17"/>
        </w:rPr>
        <w:t>RLX Technology ESG &amp; CSR — S&amp;P Global Top ESG Rating in E-Vapor Industry, Annual CSR Report, Tobacco Industry ESG Controversy — Tobacco Asia, Nasdaq,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 RLX Key Statistics: Forward P/E 14.35x, ROE 5.89%, Profit Margin 25.49%, D/E 1%, Stock Price $1.80, TTM Revenue $517M,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