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RNG</w:t>
      </w:r>
      <w:r>
        <w:rPr>
          <w:rFonts w:ascii="Calibri" w:hAnsi="Calibri"/>
          <w:b/>
          <w:color w:val="1A2010"/>
          <w:sz w:val="40"/>
        </w:rPr>
        <w:t xml:space="preserve">  RingCentral, Inc.</w:t>
      </w:r>
    </w:p>
    <w:p>
      <w:pPr>
        <w:spacing w:after="120"/>
      </w:pPr>
      <w:r>
        <w:rPr>
          <w:rFonts w:ascii="Calibri" w:hAnsi="Calibri"/>
          <w:b/>
          <w:color w:val="6E8450"/>
          <w:sz w:val="18"/>
        </w:rPr>
        <w:t>GROWTH SLEEVE · 2026-09-09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RingCentral, Inc. provides cloud-based unified communications as a service (UCaaS) and contact center as a service (CCaaS) solutions for businesses worldwide. The company's flagship RingEX platform integrates phone, messaging, video, and fax across devices, infused with RingSense AI for personalized automation and intelligence. Products include RingCentral MVP, RingCX (AI-powered contact center), and RingCentral Video. Q2 FY2026 revenue was $657M (+5.9% YoY), total ARR reached $2.8B (+7% YoY), and AI ARR exceeds 10% of total and has doubled year-over-year. Named Gartner Magic Quadrant UCaaS Leader for 12th consecutive year. Founded in 1999 by Vlad Shmunis, headquartered in Belmont, California.</w:t>
      </w:r>
    </w:p>
    <w:p>
      <w:r>
        <w:rPr>
          <w:rFonts w:ascii="Calibri" w:hAnsi="Calibri"/>
          <w:b/>
          <w:color w:val="6E8450"/>
          <w:sz w:val="18"/>
        </w:rPr>
        <w:t>7,378 Employees · https://www.ringcentral.com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RingCentral has evolved from a cloud PBX provider to a comprehensive UCaaS/CCaaS platform with genuine AI monetization. Q2 2026 revenue of $657M (+5.9% YoY) with total ARR of $2.8B (+7%) demonstrates continued growth in a maturing market, and 2026 guidance was raised to $2.62-$2.64B total revenue [1]. GAAP profitability has inflected sharply — Q1 operating margin improved from 1.7% to 7.8%, and the non-GAAP operating margin expanded to 23.4% in Q2 [1]. AI Deployment (2/2): RingSense AI is generating meaningful revenue — ARR from customers using at least one paid AI product now exceeds 10% of total ARR and has doubled year-over-year [1]. This represents genuine AI monetization, not just feature differentiation. Chief AI Officer Dr. Antonio Nucci leads the AI roadmap, and RingCX is an AI-native contact center expanding the TAM [2]. Market Share (1/2): RingCentral is the leading independent UCaaS provider, named Gartner Magic Quadrant Leader for 12 consecutive years [2]. However, intense competition from Microsoft Teams (bundled with M365) constrains growth to single digits. Product Pipeline (1/2): RingCX expansion into CCaaS, agentic AI capabilities, and deeper enterprise integrations provide growth vectors. Kira Makagon's promotion to President/COO signals focus on product-led innovation [2]. R&amp;D Intensity (1/1): 71.83% gross margins fund substantial R&amp;D in AI capabilities and platform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RingCentral's mission to transform business communications through cloud and AI technology has been validated by 27 years of execution, surviving the on-premises to cloud transition and now leading AI integration in UCaaS [2]. Founder Vlad Shmunis's return to the CEO role demonstrates deep personal commitment to the company's purpose. He was named Best CEO of a Large Company and Best CEO for Diversity by Comparably Awards [2]. The promotion of Kira Makagon to President/COO and hiring of Chief AI Officer Dr. Antonio Nucci strengthen the leadership bench. Community Impact (1/2): RingCentral has achieved MSCI AA ESG rating with Ecovadis Silver medal recognition [3]. The company emphasizes diversity, inclusion, and GHG emission reduction. However, direct community impact is limited given the enterprise B2B model. Employee Retention (1/2): Glassdoor rating of 3.5/5 based on 2,000+ reviews is below average for a tech company. Reviews describe aggressive or shifting sales quotas, frequent reorganizations, and a culture where layoffs occur quarterly, sometimes bi-monthly, creating a climate of fear and overwork [3]. These dynamics undermine employee engagement despite leadership stability at the C-suite level. Insider Buying (0/2): No notable open-market insider buying identified. Capital returns are executed through corporate actions (dividend initiation, expanded buyback) rather than personal purchasing.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RingCentral's forward valuation is strikingly attractive — forward P/E of 8.15 and PEG ratio of 0.51 suggest significant upside if the profitability trajectory continues [4]. Free cash flow is exceptional for a software company, with management targeting $590M in 2026 FCF. Gross margin of 71.83% is strong SaaS-level profitability. However, GAAP profit margin of just 4.27% and negative stockholders' equity (rendering both D/E and ROE uncalculable) reflect the legacy of years of stock-based compensation-driven GAAP losses and aggressive buybacks [4]. Total debt of $1.25B against only $116.58M in cash creates a $1.14B net debt position. Revenue growth of 5.9% YoY is modest for a software company, suggesting UCaaS market maturation. The stock rose ~79% from the July 2026 level on improved profitability outlook and raised 2026 guidance to $2.62-$2.64B revenue and $4.85-$5.01 non-GAAP EPS [1]. The recently increased quarterly dividend ($0.125/share, up 67% from initial $0.075) signals management confidence in sustainable cash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RingCentral shows a mix of infinite and finite game characteristics. The founder CEO's return to lead an AI-first transformation demonstrates long-term vision, and the 27-year track record of continuous platform evolution is inherently infinite. The promotion of Kira Makagon to President/COO and hiring of Chief AI Officer Dr. Antonio Nucci strengthen the leadership bench for long-term play [2]. However, the aggressive organizational culture — frequent reorgs, quarterly layoffs, shifting quotas — creates finite-game dynamics internally even as the strategic direction is forward-looking [3].</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RingCentral's purpose of transforming how businesses communicate has been validated across 27 years and multiple technology transitions — from on-premises PBX to cloud, from voice to unified communications, and now from UCaaS to AI-powered business automation [2]. The cause is forward-looking and resilient, gaining new relevance as AI reshapes workplace communications. Founder Vlad Shmunis's personal return to the CEO role to lead the AI pivot, and the strategic hiring of Chief AI Officer Dr. Antonio Nucci, demonstrate authentic commitment beyond financial necessity.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3.5/5 is below the tech industry average, with multiple reviews citing quarterly or bi-monthly layoffs affecting hundreds of employees, aggressive or shifting sales quotas, and reorganization waves that create instability and a culture of fear [3]. The rapid AI-first push under founder leadership is driving innovation but creating organizational instability. The promotion of Kira Makagon to President/COO provides some organizational stability at the top, but the disconnect between C-suite vision and frontline experience suggests a culture where execution is valued over psychological safety.</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Microsoft Teams is the definitive worthy rival — its bundling with M365 has fundamentally reshaped the UCaaS competitive landscape and constrained RingCentral's growth to single digits. Rather than competing on Teams' terms (free bundled communications), RingCentral has differentiated through enterprise telephony depth, regulatory compliance, and AI-powered features [1][2]. The company's AI-first pivot is partly a response to Teams' strength, demonstrating how a worthy rival can clarify competitive direction.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RingCentral has demonstrated significant strategic flexibility across three pivots — first pioneering cloud PBX when Avaya and Cisco dominated on-premises, then expanding from UCaaS into CCaaS with RingCX, and now pursuing an AI-first transformation positioning the company as an AI-powered business automation platform [2]. The founder CEO's return specifically to lead this third transition shows willingness to fundamentally reimagine the business rather than optimize the existing model.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Vlad Shmunis's decision to return as CEO specifically to lead an AI-first transformation — after having already stepped back to Executive Chairman — required genuine conviction that the company needed founder-level intensity [2]. The AI pivot involves cannibalizing existing product revenue and reorganizing the company around new priorities. The simultaneous dividend initiation (now increased 67% to $0.125/quarter), expanded buyback, and continued AI investment demonstrate confidence in sustainable cash generation while investing for the future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RingCentral presents a compelling value case driven by AI monetization momentum and dramatically attractive forward valuation. At a forward P/E of 8.15 and PEG of 0.51, the market appears to price RNG as a declining legacy communications company while ignoring that AI ARR now exceeds 10% of total ARR and is doubling annually [1][4]. Q2 2026 revenue of $657M (+5.9% YoY) with total ARR of $2.8B (+7%) and non-GAAP operating margin expanding to 23.4% demonstrate the business is generating substantial cash flow — management targets $590M FCF in 2026 [1]. The 2026 guidance raise to $2.62-$2.64B revenue and $4.85-$5.01 non-GAAP EPS signals confidence in the trajectory. Founder Vlad Shmunis's direct leadership of the AI-first pivot, supported by Chief AI Officer Dr. Antonio Nucci and President/COO Kira Makagon, adds execution credibility [2]. The stock's 79% rally from July 2026 lows suggests the market is beginning to recognize the value, but forward multiples remain deeply discounted relative to peers.</w:t>
      </w:r>
    </w:p>
    <w:p>
      <w:pPr>
        <w:spacing w:after="120"/>
      </w:pPr>
      <w:r>
        <w:rPr>
          <w:rFonts w:ascii="Calibri" w:hAnsi="Calibri"/>
          <w:b w:val="0"/>
          <w:color w:val="3A4A28"/>
          <w:sz w:val="20"/>
        </w:rPr>
        <w:t>The bear case is structural: the core UCaaS market is maturing with only 5.9% revenue growth as Microsoft Teams bundling continues to commoditize business communications [1]. Negative stockholders' equity and $1.25B debt load (against only $117M cash) reflect a leveraged balance sheet from years of GAAP losses and aggressive buybacks — the $1.14B net debt position limits strategic flexibility [4]. GAAP profit margin of just 4.27% means the company is only beginning its GAAP profitability journey despite being 27 years old, and the wide gap between trailing P/E (43.57x) and forward P/E (8.15x) relies on aggressive non-GAAP earnings expectations [4]. The organizational culture is strained — Glassdoor reviews cite quarterly layoffs, shifting quotas, and fear-based dynamics that could impair talent retention at a critical AI transformation moment [3]. Competition from Microsoft Teams/Copilot, Zoom AI Companion, and emerging AI-native communication platforms remains intense. The Inspire Impact Score of -49 (MISALIGNED) limits faith-based investor participation.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ARR exceeding 10% of total and doubling annually could accelerate revenue growth beyond the current 5.9% trajectory if AI product adoption drives enterprise upsell, cross-sell, and new logo acquisition [1]</w:t>
      </w:r>
    </w:p>
    <w:p>
      <w:pPr>
        <w:spacing w:before="40" w:after="40"/>
        <w:ind w:left="283"/>
      </w:pPr>
      <w:r>
        <w:rPr>
          <w:rFonts w:ascii="Calibri" w:hAnsi="Calibri"/>
          <w:b/>
          <w:color w:val="4A6B25"/>
          <w:sz w:val="20"/>
        </w:rPr>
        <w:t xml:space="preserve">2. </w:t>
      </w:r>
      <w:r>
        <w:rPr>
          <w:rFonts w:ascii="Calibri" w:hAnsi="Calibri"/>
          <w:b w:val="0"/>
          <w:color w:val="3A4A28"/>
          <w:sz w:val="20"/>
        </w:rPr>
        <w:t>Continued GAAP margin expansion toward 15%+ operating margin could close the gap between non-GAAP (23.4%) and GAAP profitability, removing the SBC-driven valuation overhang and attracting fundamental investors</w:t>
      </w:r>
    </w:p>
    <w:p>
      <w:pPr>
        <w:spacing w:before="40" w:after="40"/>
        <w:ind w:left="283"/>
      </w:pPr>
      <w:r>
        <w:rPr>
          <w:rFonts w:ascii="Calibri" w:hAnsi="Calibri"/>
          <w:b/>
          <w:color w:val="4A6B25"/>
          <w:sz w:val="20"/>
        </w:rPr>
        <w:t xml:space="preserve">3. </w:t>
      </w:r>
      <w:r>
        <w:rPr>
          <w:rFonts w:ascii="Calibri" w:hAnsi="Calibri"/>
          <w:b w:val="0"/>
          <w:color w:val="3A4A28"/>
          <w:sz w:val="20"/>
        </w:rPr>
        <w:t>Quarterly dividend increased 67% to $0.125/share (0.66% yield) and expanded buyback program, supported by $590M FCF target, could attract income-oriented investors and provide a floor for the stock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Microsoft Teams bundling with M365 and Copilot AI integration continues to commoditize UCaaS, constraining revenue growth to 5.9% despite AI product momentum — AI alone may not offset the structural competitive headwind [1][2]</w:t>
      </w:r>
    </w:p>
    <w:p>
      <w:pPr>
        <w:spacing w:before="40" w:after="40"/>
        <w:ind w:left="283"/>
      </w:pPr>
      <w:r>
        <w:rPr>
          <w:rFonts w:ascii="Calibri" w:hAnsi="Calibri"/>
          <w:b/>
          <w:color w:val="4A6B25"/>
          <w:sz w:val="20"/>
        </w:rPr>
        <w:t xml:space="preserve">2. </w:t>
      </w:r>
      <w:r>
        <w:rPr>
          <w:rFonts w:ascii="Calibri" w:hAnsi="Calibri"/>
          <w:b w:val="0"/>
          <w:color w:val="3A4A28"/>
          <w:sz w:val="20"/>
        </w:rPr>
        <w:t>Negative stockholders' equity and $1.25B debt load ($1.14B net debt) create balance sheet fragility that limits strategic flexibility and increases vulnerability to macro downturns or revenue shortfalls [4]</w:t>
      </w:r>
    </w:p>
    <w:p>
      <w:pPr>
        <w:spacing w:before="40" w:after="40"/>
        <w:ind w:left="283"/>
      </w:pPr>
      <w:r>
        <w:rPr>
          <w:rFonts w:ascii="Calibri" w:hAnsi="Calibri"/>
          <w:b/>
          <w:color w:val="4A6B25"/>
          <w:sz w:val="20"/>
        </w:rPr>
        <w:t xml:space="preserve">3. </w:t>
      </w:r>
      <w:r>
        <w:rPr>
          <w:rFonts w:ascii="Calibri" w:hAnsi="Calibri"/>
          <w:b w:val="0"/>
          <w:color w:val="3A4A28"/>
          <w:sz w:val="20"/>
        </w:rPr>
        <w:t>Organizational instability from frequent layoffs (quarterly, sometimes bi-monthly), shifting quotas, and rapid AI-first reorganization could impair talent retention and execution quality at a critical transformation moment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RingCentral faces a dual-edged AI exposure. On defense, the UCaaS market is under structural pressure from Microsoft Teams bundled with M365 and increasingly enhanced with Copilot AI capabilities — AI-native communication platforms could eventually bypass traditional UCaaS entirely, handling scheduling, transcription, summarization, and voice calls through AI agents [2]. The 5.9% revenue growth rate suggests Teams bundling is already constraining growth despite RingCentral's 12th consecutive year as Gartner UCaaS leader. However, deep telephony expertise, enterprise-grade reliability, and regulatory compliance capabilities (HIPAA, FINRA) create meaningful switching costs that AI-native entrants cannot easily replicate. The installed base of enterprises with complex multi-line, multi-location deployments provides structural protection. AI Opportunity (1/1): RingSense AI is generating genuine revenue — AI ARR exceeds 10% of total ARR and has doubled year-over-year, with broader AI adoption driving Q2 margin expansion [1]. The voice-first agentic AI roadmap under Chief AI Officer Dr. Antonio Nucci could transform RingCentral from a communications platform into an AI-powered business automation platform, potentially expanding the addressable market significantly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RingCentral Q2 FY2026 Financial Results — Revenue $657M (+5.9% YoY), Total ARR $2.8B (+7%), Non-GAAP Operating Margin 23.4%, AI ARR &gt;10% and Doubling, 2026 Guidance Raised, July 2026</w:t>
      </w:r>
    </w:p>
    <w:p>
      <w:pPr>
        <w:spacing w:before="20" w:after="20"/>
        <w:ind w:left="170"/>
      </w:pPr>
      <w:r>
        <w:rPr>
          <w:rFonts w:ascii="Calibri" w:hAnsi="Calibri"/>
          <w:b/>
          <w:color w:val="4A6B25"/>
          <w:sz w:val="15"/>
        </w:rPr>
        <w:t xml:space="preserve">2. </w:t>
      </w:r>
      <w:r>
        <w:rPr>
          <w:rFonts w:ascii="Calibri" w:hAnsi="Calibri"/>
          <w:b w:val="0"/>
          <w:color w:val="3A4A28"/>
          <w:sz w:val="17"/>
        </w:rPr>
        <w:t>RingCentral Leadership &amp; AI Strategy — CEO Vlad Shmunis, COO Kira Makagon, Chief AI Officer Dr. Antonio Nucci, RingSense AI, RingCX, 12th Gartner MQ UCaaS Leader — RingCentral.com, UC Today, September 2026</w:t>
      </w:r>
    </w:p>
    <w:p>
      <w:pPr>
        <w:spacing w:before="20" w:after="20"/>
        <w:ind w:left="170"/>
      </w:pPr>
      <w:r>
        <w:rPr>
          <w:rFonts w:ascii="Calibri" w:hAnsi="Calibri"/>
          <w:b/>
          <w:color w:val="4A6B25"/>
          <w:sz w:val="15"/>
        </w:rPr>
        <w:t xml:space="preserve">3. </w:t>
      </w:r>
      <w:r>
        <w:rPr>
          <w:rFonts w:ascii="Calibri" w:hAnsi="Calibri"/>
          <w:b w:val="0"/>
          <w:color w:val="3A4A28"/>
          <w:sz w:val="17"/>
        </w:rPr>
        <w:t>RingCentral ESG &amp; Employee Culture — MSCI AA ESG Rating, Glassdoor 3.5/5, Layoff History, Culture Concerns — Glassdoor, Layoffs.fyi,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RNG Key Statistics: Forward P/E 8.15x, PEG 0.51, Profit Margin 4.27%, TTM Revenue $2.55B, Stock Price $75.35,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