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ROIV</w:t>
      </w:r>
      <w:r>
        <w:rPr>
          <w:rFonts w:ascii="Calibri" w:hAnsi="Calibri"/>
          <w:b/>
          <w:color w:val="1A2010"/>
          <w:sz w:val="40"/>
        </w:rPr>
        <w:t xml:space="preserve">  Roivant Sciences Ltd.</w:t>
      </w:r>
    </w:p>
    <w:p>
      <w:pPr>
        <w:spacing w:after="120"/>
      </w:pPr>
      <w:r>
        <w:rPr>
          <w:rFonts w:ascii="Calibri" w:hAnsi="Calibri"/>
          <w:b/>
          <w:color w:val="6E8450"/>
          <w:sz w:val="18"/>
        </w:rPr>
        <w:t>GROWTH SLEEVE · 2026-10-16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Kingdom</w:t>
      </w:r>
    </w:p>
    <w:p>
      <w:pPr>
        <w:spacing w:after="80"/>
      </w:pPr>
      <w:r>
        <w:rPr>
          <w:rFonts w:ascii="Calibri" w:hAnsi="Calibri"/>
          <w:b w:val="0"/>
          <w:color w:val="3A4A28"/>
          <w:sz w:val="20"/>
        </w:rPr>
        <w:t>Roivant Sciences is a clinical-stage biopharmaceutical company operating through a decentralized 'Vant' model — a family of independently led subsidiaries focused on discovering, developing, and commercializing medicines. Lead programs include IMVT-1402 (FcRn antibody) in registrational studies across multiple autoimmune indications and mosliciguat (inhaled sGC activator) for pulmonary hypertension. The company received $950M from Moderna in a lipid nanoparticle technology settlement in 2026 and previously sold Telavant to Roche for $7.1B. Revenue for the quarter ended June 30, 2026 was $1.44M (down 34% YoY), with a net loss of $189.8M. Led by CEO Matt Gline since 2021, Roivant maintains a fortress balance sheet with minimal debt (D/E 2%) and has 9 buy / 2 hold analyst ratings [1][2].</w:t>
      </w:r>
    </w:p>
    <w:p>
      <w:r>
        <w:rPr>
          <w:rFonts w:ascii="Calibri" w:hAnsi="Calibri"/>
          <w:b/>
          <w:color w:val="6E8450"/>
          <w:sz w:val="18"/>
        </w:rPr>
        <w:t>721 Employees · https://roivant.com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Vant model represents a structural innovation in biotech — decentralized, independently led companies designed for focused execution. Roivant executed multiple transformative deals: the $7.1B sale of Telavant to Roche in October 2023, the $950M Moderna lipid nanoparticle technology settlement, and the $450M Silicon Therapeutics acquisition bringing computational chemistry capabilities in-house [2][3]. However, no approved product has yet reached commercial scale. AI Deployment (1/2): Roivant operates AI/ML capabilities through VantAI (Neo-1 diffusion model for biomolecule structure prediction and molecular glue generation) and the Silicon Therapeutics computational drug discovery platform [3]. CEO Gline has stated all employees have access to Claude and other enterprise AI tools for operational tasks including patient enrollment and document handling [3]. However, Gline is openly cautious about AI drug discovery, calling it an unproven field needing bespoke solutions. Market Share (0/2): Pre-commercial with TTM revenue of $7.53M from royalties and milestones, not product sales. No market leadership position yet. Product Pipeline (2/2): Exceptional late-stage pipeline: IMVT-1402 in registrational studies across Graves' disease, myasthenia gravis, CIDP, and Sjogren's with topline data 2027-2028; mosliciguat in Phase 2 for pulmonary hypertension with data H2 2026 [2]. Named products, defined indications, and specific data readout dates. R&amp;D Intensity (1/1): R&amp;D spending dominates the company's cash usage, far exceeding industry averages relative to revenue, reflecting a research-first operating model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Roivant's mission to 'improve the delivery of healthcare to patients by treating every inefficiency as an opportunity' is clear and differentiates from peers — the Vant model is a distinctive structural embodiment of this purpose [3]. However, it reads more as an operational philosophy than a transformative vision of healthcare's future. Community Impact (1/2): Roivant Social Ventures extends the mission through health equity initiatives and a published Global Access Scorecard guiding impact investors toward equitable healthcare investments [5]. These are genuine programs with specific objectives, though modest in scale. Employee Retention (1/2): CEO Matt Gline's tenure since 2021 (joined as CFO in 2016) demonstrates leadership stability, and the Vant model's decentralized structure is designed to empower small, focused teams [3]. No specific turnover data is publicly available. Insider Buying (0/2): No evidence of meaningful net insider buying was identified in recent periods; insider activity has been dominated by sales rather than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sleeve metrics. D/E of 2.2% is exceptionally low (score 1.0), reflecting only $107M in debt against billions in cash — one of the strongest balance sheets in clinical-stage biotech [4]. ROE of -8.5% scores 0.0 as ongoing R&amp;D spending consumes capital (2x weight). Revenue growth of -33.5% YoY scores 0.0, though this reflects divestitures and stage of development rather than operational decline. Profit margin and Forward P/E are excluded or score 0.0 due to pre-commercial status. Revenue 5yr CAGR and PEG are unavailable. The mechanical framework penalizes pre-revenue companies heavily — the score understates Roivant's financial strength, as the company has years of pipeline runway from its cash position. Easily clears the liquidity floor with approximately $243M daily trading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Roivant embodies several infinite game principles through the Vant model — decentralized leadership, empowered teams, and a structure designed for long-term adaptability over quarterly optimization. The company invests hundreds of millions annually in R&amp;D while pre-revenue, demonstrating patience and long-term conviction. The mission to fix healthcare delivery inefficiencies has been maintained through the founder transition from Ramaswamy to Gline. However, the cause has not been tested through multi-decade consistency, and the company's competitive posture emphasizes its own model superiority rather than learning from worthy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Roivant's purpose of improving healthcare delivery by treating every inefficiency as an opportunity is genuine, partially lived, and connects the company's work to patient outcomes [3][5]. The Vant model is a distinctive structural commitment to this cause — not just a mission statement but an organizational design built to serve it. Roivant Social Ventures extends the cause through health equity initiatives. The purpose survived the leadership transition from founder Ramaswamy to CEO Gline. However, ultimate validation — launching an approved drug that transforms patient outcomes — has not yet occurred.</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The Vant model is explicitly designed around trusting teams — each Vant operates as an independent company with its own leadership, decision-making authority, and strategic direction [3]. This is a structural commitment to decentralized authority, not lip service to empowerment. Immunovant, Psivant, and VantAI each have independent management teams with genuine autonomy. CEO Gline's smooth transition from CFO demonstrates succession planning and institutional trust. The model was 'built so it can scale without ever truly getting big.'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Gline has publicly acknowledged the limitations of Roivant's own AI drug discovery capabilities, stating the field's promise 'has not yet been proven' and that drug discovery needs 'many bespoke AI solutions' [3]. He acknowledges competitors' strengths by noting that Roivant's licensing model has outperformed AI drug discovery 'so far,' implying respect for what others are attempting. This reflects an infinite mindset of honest competitive self-assessment rather than claiming superiority.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Vant model itself demonstrates flexibility — Roivant creates, develops, and divests entities as the cause demands. The $7.1B sale of Telavant to Roche, strategic divestitures, and spinout of various Vants show willingness to evolve the portfolio [2][3]. The company was built from scratch as a new organizational model for biotech. However, Roivant has not yet faced an existential challenge requiring a fundamental pivot from the Vant model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hundreds of millions annually in R&amp;D while pre-revenue, executing the $450M Silicon Therapeutics acquisition for AI drug discovery, and pursuing registrational studies across multiple autoimmune indications demonstrate willingness to invest in long-term capability over short-term results [2][3]. However, with a multi-billion-dollar cash position, these decisions are enabled by abundance rather than tested by adversity — the financial cushion reduces the real risk of each bold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Roivant Sciences at $34.04 with $24.6B market cap is a clinical-stage biotech approaching a major inflection point. IMVT-1402 is advancing through registrational studies across multiple autoimmune indications (Graves' disease, myasthenia gravis, CIDP, Sjogren's) with topline data expected 2027-2028, representing a potentially multi-billion-dollar FcRn franchise opportunity [2]. The Vant model has already demonstrated the ability to create value — the $7.1B Telavant sale to Roche and $950M Moderna LNP settlement validate the platform's innovation capacity. A fortress balance sheet with 2.2% D/E and multi-billion-dollar cash position funds years of pipeline development without dilution risk [4]. AI capabilities through VantAI and Silicon Therapeutics position the company at the intersection of computational biology and clinical development. Consensus analyst rating stands at 9 buy / 2 hold [2].</w:t>
      </w:r>
    </w:p>
    <w:p>
      <w:pPr>
        <w:spacing w:after="120"/>
      </w:pPr>
      <w:r>
        <w:rPr>
          <w:rFonts w:ascii="Calibri" w:hAnsi="Calibri"/>
          <w:b w:val="0"/>
          <w:color w:val="3A4A28"/>
          <w:sz w:val="20"/>
        </w:rPr>
        <w:t>The bear case centers on the fundamental pre-commercial risk profile embedded in a $24.6B valuation. TTM revenue of $7.53M (declining 34% YoY) and deeply negative ROE reflect a company whose entire value rests on pipeline optionality [4]. If IMVT-1402 fails in registrational trials or commercial launches disappoint, the market cap has limited financial floor beyond the cash position. R&amp;D burn of hundreds of millions per quarter is accelerating as multiple programs advance through expensive late-stage studies. Revenue decline of 33.5% YoY reflects divestitures (Telavant, Dermavant), leaving the company increasingly dependent on clinical milestones. The mechanical Infrastructure score of 2/10 reflects the reality that pre-commercial biotechs score poorly on financial metrics regardless of balance sheet strength. Former founder Vivek Ramaswamy's anti-ESG political activities, while no longer operationally relevant, create reputational complexity. Competitive risk from Roche, AbbVie, and other autoimmune-focused pharma could limit market penetration of Roivant's pipeline candidates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IMVT-1402 registrational data readouts in Graves' disease and myasthenia gravis (2027-2028) could unlock a multi-billion-dollar autoimmune franchise — the FcRn antibody mechanism targets large and growing markets with significant unmet need [2]</w:t>
      </w:r>
    </w:p>
    <w:p>
      <w:pPr>
        <w:spacing w:before="40" w:after="40"/>
        <w:ind w:left="283"/>
      </w:pPr>
      <w:r>
        <w:rPr>
          <w:rFonts w:ascii="Calibri" w:hAnsi="Calibri"/>
          <w:b/>
          <w:color w:val="4A6B25"/>
          <w:sz w:val="20"/>
        </w:rPr>
        <w:t xml:space="preserve">2. </w:t>
      </w:r>
      <w:r>
        <w:rPr>
          <w:rFonts w:ascii="Calibri" w:hAnsi="Calibri"/>
          <w:b w:val="0"/>
          <w:color w:val="3A4A28"/>
          <w:sz w:val="20"/>
        </w:rPr>
        <w:t>Mosliciguat Phase 2 data in pulmonary hypertension expected H2 2026 could validate a new therapeutic approach in a cardiovascular indication with limited treatment options [2]</w:t>
      </w:r>
    </w:p>
    <w:p>
      <w:pPr>
        <w:spacing w:before="40" w:after="40"/>
        <w:ind w:left="283"/>
      </w:pPr>
      <w:r>
        <w:rPr>
          <w:rFonts w:ascii="Calibri" w:hAnsi="Calibri"/>
          <w:b/>
          <w:color w:val="4A6B25"/>
          <w:sz w:val="20"/>
        </w:rPr>
        <w:t xml:space="preserve">3. </w:t>
      </w:r>
      <w:r>
        <w:rPr>
          <w:rFonts w:ascii="Calibri" w:hAnsi="Calibri"/>
          <w:b w:val="0"/>
          <w:color w:val="3A4A28"/>
          <w:sz w:val="20"/>
        </w:rPr>
        <w:t>Moderna settlement providing $950M upfront with potential additional contingent payments validates Roivant's lipid nanoparticle IP value beyond therapeutics and strengthens the cash position for continued pipeline investment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Pre-commercial biotech with $7.53M TTM revenue declining 34% YoY faces the fundamental risk that late-stage pipeline fails — if IMVT-1402 misses registrational endpoints, the $24.6B market cap has limited financial support beyond the cash position [2][4]</w:t>
      </w:r>
    </w:p>
    <w:p>
      <w:pPr>
        <w:spacing w:before="40" w:after="40"/>
        <w:ind w:left="283"/>
      </w:pPr>
      <w:r>
        <w:rPr>
          <w:rFonts w:ascii="Calibri" w:hAnsi="Calibri"/>
          <w:b/>
          <w:color w:val="4A6B25"/>
          <w:sz w:val="20"/>
        </w:rPr>
        <w:t xml:space="preserve">2. </w:t>
      </w:r>
      <w:r>
        <w:rPr>
          <w:rFonts w:ascii="Calibri" w:hAnsi="Calibri"/>
          <w:b w:val="0"/>
          <w:color w:val="3A4A28"/>
          <w:sz w:val="20"/>
        </w:rPr>
        <w:t>R&amp;D burn of hundreds of millions per quarter is accelerating as multiple programs advance through expensive clinical development, and even with a multi-billion-dollar cash position, serial failures would erode runway and force difficult capital allocation decisions [4]</w:t>
      </w:r>
    </w:p>
    <w:p>
      <w:pPr>
        <w:spacing w:before="40" w:after="40"/>
        <w:ind w:left="283"/>
      </w:pPr>
      <w:r>
        <w:rPr>
          <w:rFonts w:ascii="Calibri" w:hAnsi="Calibri"/>
          <w:b/>
          <w:color w:val="4A6B25"/>
          <w:sz w:val="20"/>
        </w:rPr>
        <w:t xml:space="preserve">3. </w:t>
      </w:r>
      <w:r>
        <w:rPr>
          <w:rFonts w:ascii="Calibri" w:hAnsi="Calibri"/>
          <w:b w:val="0"/>
          <w:color w:val="3A4A28"/>
          <w:sz w:val="20"/>
        </w:rPr>
        <w:t>Competitive risk from Roche (which acquired Telavant's RVT-3101), AbbVie, and other autoimmune-focused large-cap pharma with established commercial infrastructure and physician relationships that Roivant must build from scratch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Biotech drug development is structurally protected from AI disruption — clinical trials require human patients, FDA regulatory approval involves years of safety and efficacy data, physical drug manufacturing cannot be replaced by software, and physician-patient relationships govern prescribing decisions [4]. AI accelerates Roivant's drug discovery process rather than threatening it. The IMVT-1402 path through registrational studies demonstrates that the regulatory moat remains impervious to AI shortcuts. No analyst has flagged AI displacement as a risk for Roivant. The only vulnerability is that competitors could develop superior AI drug discovery platforms, but Roivant's early investment through Silicon Therapeutics and VantAI provides a meaningful head start. AI Opportunity (1/1): Roivant generates quantifiable value from AI across its operations. VantAI's Neo-1 diffusion model predicts biomolecular interactions, Silicon Therapeutics provides computational drug discovery, and enterprise AI tools are deployed company-wide [3]. This represents one of the most comprehensive AI deployments in clinical-stage biotech.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Roivant Sciences Quarterly Results — Revenue $1.44M (Q ended June 2026, -34% YoY), Net Loss $189.8M, Narrowed from $223.4M — SEC Filing/TradingView/Simply Wall St, August 2026</w:t>
      </w:r>
    </w:p>
    <w:p>
      <w:pPr>
        <w:spacing w:before="20" w:after="20"/>
        <w:ind w:left="170"/>
      </w:pPr>
      <w:r>
        <w:rPr>
          <w:rFonts w:ascii="Calibri" w:hAnsi="Calibri"/>
          <w:b/>
          <w:color w:val="4A6B25"/>
          <w:sz w:val="15"/>
        </w:rPr>
        <w:t xml:space="preserve">2. </w:t>
      </w:r>
      <w:r>
        <w:rPr>
          <w:rFonts w:ascii="Calibri" w:hAnsi="Calibri"/>
          <w:b w:val="0"/>
          <w:color w:val="3A4A28"/>
          <w:sz w:val="17"/>
        </w:rPr>
        <w:t>Roivant Sciences Pipeline and Business Update — IMVT-1402 Registrational Studies, Mosliciguat Phase 2, $950M Moderna Settlement, Telavant $7.1B Sale — Investor Relations/BioSpace, 2023-2026</w:t>
      </w:r>
    </w:p>
    <w:p>
      <w:pPr>
        <w:spacing w:before="20" w:after="20"/>
        <w:ind w:left="170"/>
      </w:pPr>
      <w:r>
        <w:rPr>
          <w:rFonts w:ascii="Calibri" w:hAnsi="Calibri"/>
          <w:b/>
          <w:color w:val="4A6B25"/>
          <w:sz w:val="15"/>
        </w:rPr>
        <w:t xml:space="preserve">3. </w:t>
      </w:r>
      <w:r>
        <w:rPr>
          <w:rFonts w:ascii="Calibri" w:hAnsi="Calibri"/>
          <w:b w:val="0"/>
          <w:color w:val="3A4A28"/>
          <w:sz w:val="17"/>
        </w:rPr>
        <w:t>Roivant Sciences Leadership and AI Strategy — CEO Matt Gline (since 2021), VantAI Neo-1 Model, Silicon Therapeutics $450M Acquisition, Enterprise AI Deployment, Cautious AI Discovery View — BioCentury/Wikipedia/BigGo Finance,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ROIV Key Statistics: Price $34.04, Market Cap $24.6B, D/E 2.2%, ROE -8.5%, TTM Revenue $7.53M, Avg Volume 7.14M, 9 Buy / 2 Hold,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Roivant Social Ventures — Health Equity Programs, Global Access Scorecard, Clinical Trial Diversity — roivantsv.org,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