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RPGL</w:t>
      </w:r>
      <w:r>
        <w:rPr>
          <w:rFonts w:ascii="Calibri" w:hAnsi="Calibri"/>
          <w:b/>
          <w:color w:val="1A2010"/>
          <w:sz w:val="40"/>
        </w:rPr>
        <w:t xml:space="preserve">  Republic Power Group Limited</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Singapore</w:t>
      </w:r>
    </w:p>
    <w:p>
      <w:pPr>
        <w:spacing w:after="80"/>
      </w:pPr>
      <w:r>
        <w:rPr>
          <w:rFonts w:ascii="Calibri" w:hAnsi="Calibri"/>
          <w:b w:val="0"/>
          <w:color w:val="3A4A28"/>
          <w:sz w:val="20"/>
        </w:rPr>
        <w:t>Republic Power Group Limited provides customized enterprise resource planning (ERP) software solutions, consulting and technical support services, and peripheral hardware to corporate clients and government agencies in Singapore and Malaysia. The company integrates AI and IoT capabilities into its ERP solutions and is piloting a SaaS subscription-based ERP product. Incorporated in 2015 and headquartered in Singapore, RPGL is a subsidiary of True Sage International Limited. Listed on NASDAQ in October 2025 at $4.00/share; executed 1-for-20 and 1-for-40 reverse stock splits in 2026.</w:t>
      </w:r>
    </w:p>
    <w:p>
      <w:r>
        <w:rPr>
          <w:rFonts w:ascii="Calibri" w:hAnsi="Calibri"/>
          <w:b/>
          <w:color w:val="6E8450"/>
          <w:sz w:val="18"/>
        </w:rPr>
        <w:t>8 Employees · https://republicpower.net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Republic Power has not achieved a successful product launch or business model transformation. Revenue has been extremely volatile — SGD 5.0M (FY2023), SGD 686K (FY2024, -86%), SGD 3.0M (FY2025) — reflecting project-based revenue swings and extreme client concentration, not innovation-driven growth [1]. The FY2024 collapse was attributed to loss of major projects and shareholder transition. AI Deployment (1/2): The company mentions AI and IoT integration in its ERP solutions for prediction and operational data analysis, though no specific AI-driven products are shipping with quantified revenue or cost savings [2]. Market Share (0/2): RPGL is a nano-cap company ($23.6M market cap) with 8 employees serving a narrow set of clients in Singapore and Malaysia; 70% of revenue comes from a limited number of major clients with no meaningful market share in any segment [1]. Pipeline (1/2): A subscription-based SaaS ERP product is in pilot testing with expected launch in Q3 FY2026, and the NVT strategic partnership for blockchain-enabled RWA tokenization represents a speculative revenue opportunity [1]. R&amp;D Intensity (0/1): With 8 employees and $4.7M TTM revenue, R&amp;D resources are negligible relative to ERP industry peers like SAP, Oracle, or Microsoft.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Republic Power does not articulate a distinctive mission, purpose, or vision beyond providing ERP software solutions. The company's purpose is generic and interchangeable with any small IT services firm [2]. Community Impact (0/2): No evidence of charitable giving or community programs was found; the company's minimal scale (8 employees) limits capacity for community impact [1]. Employee Retention (0/2): With only 8 employees, no meaningful retention data is available [1]. Insider Buying (0/2): No meaningful net insider buying by CEO Ziyang Long or executives was identified. A January 2026 registered offering issued 44.775M shares at $0.20/share — a massive discount to the trading price — primarily to external investors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liquidity floor is borderline: yfinance avg_daily_volume of 759,148 at $1.46 equals $1.11M, barely exceeding the $1M threshold, though recent daily volume of ~151K ($221K value) would fail the floor [3]. D/E of 1.8% is negligible with only $150K total debt against $1.1M cash, scoring 1.0 [3]. ROE of 9.3% is positive but below the 15% target, scoring 0.62 at 2x weight [3]. Revenue growth YoY of 341% scores 1.0, though this reflects recovery from a nearly zero FY2024 base ($686K) rather than sustainable growth momentum [1]. Profit margin of 11.7% (net) scores 0.58, though this contradicts the -40.9% operating margin, suggesting non-operating income or accounting adjustments distort the net figure [3]. Forward P/E, PEG, and 5yr revenue CAGR are all unavailable and excluded. CAUTION: Infrastructure score reflects favorable metric ratios on an extremely small revenue base ($4.7M TTM) that may not be representative of a sustainable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Republic Power Group displays predominantly finite-game characteristics. The company lacks a discernible Just Cause beyond commercial survival, faces ongoing Nasdaq compliance challenges after two reverse stock splits, and its volatile revenue pattern ($5M to $0.7M to $3M over three years) suggests reactive project-based operations rather than purposeful long-term strategy. The 8-employee organization is too small and too governance-challenged to demonstrate the endurance, trust, or flexibility that characterize infinite-game players.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Just Cause (0/3): No distinctive purpose or vision was identified in Republic Power's public communications [2]. The company exists to sell ERP software and consulting services with no articulated vision of a future state that inspires beyond commercial transactions. The description as an ERP provider for 'trading, logistics, and property management industries' is a business function, not a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Low trust environment (0/2): With only 8 full-time employees, traditional team trust metrics are not applicable [1]. The accounting discrepancy discovered during an internal audit in November 2025 (triggering a 43% stock decline), multiple Nasdaq non-compliance notices, and two reverse stock splits within four months signal governance weaknesses that undermine organizational trust [1][3].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competitive mindset (0/1): Republic Power does not publicly discuss competitors, competitive learning, or how rival strengths inform its own improvement [1][2]. The company's competitive positioning is based on niche Singapore/Malaysia government relationships rather than a philosophy of continuous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Some flexibility (1/2): Republic Power has shown flexibility by expanding beyond traditional ERP software into AI/IoT integration and pursuing a SaaS subscription model to replace volatile project-based revenue [1][2]. For an 8-employee company, the breadth of experimentation (SaaS ERP, blockchain/RWA tokenization, IoT integration) is notable, though none of these pivots have produced meaningful revenue.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courageous decisions (0/2): The company's recent history is marked by reactive responses — revenue collapse in FY2024, accounting discrepancy, Nasdaq compliance failures, and emergency reverse stock splits [1][3]. These represent survival measures rather than bold strategic choices. No evidence of leadership sacrificing short-term performance for long-term capability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Republic Power Group's stock has recovered from $0.69 to $1.46 (+112%) since the July 2026 screen, with market cap climbing from $6M to $23.6M and TTM revenue reaching $4.7M on 341% YoY growth from the depressed FY2024 base [1][3]. The balance sheet carries minimal debt (D/E 1.8%) with $1.1M cash and no significant liabilities [3]. The SaaS ERP product pilot targeting Q3 FY2026 launch could provide recurring revenue to replace volatile project-based income, and AI/IoT-enhanced ERP solutions position the company for specialized engagements [1][2]. Gross margins of 58.5% demonstrate strong pricing power in the custom ERP niche.</w:t>
      </w:r>
    </w:p>
    <w:p>
      <w:pPr>
        <w:spacing w:after="120"/>
      </w:pPr>
      <w:r>
        <w:rPr>
          <w:rFonts w:ascii="Calibri" w:hAnsi="Calibri"/>
          <w:b w:val="0"/>
          <w:color w:val="3A4A28"/>
          <w:sz w:val="20"/>
        </w:rPr>
        <w:t>The bear case remains overwhelming for any institutional-quality investor. Republic Power operates with 8 employees, $4.7M TTM revenue, and -40.9% operating margins — the 11.7% net profit margin appears driven by non-operating items rather than business profitability [3]. The company executed two reverse stock splits within four months (1-for-20 in February, 1-for-40 in May 2026) to avoid Nasdaq delisting, and the stock has lost 63% of its value from the October 2025 IPO price of $4.00 [1][3]. Revenue remains extremely volatile ($5M to $0.7M to $3M over three years) with 70% client concentration creating zero visibility [1]. The January 2026 offering issued shares at $0.20 — an 80%+ discount to market — diluting existing shareholders massively. The liquidity floor is borderline ($1.1M on average volume but only $221K on recent volume), and the company competes against Microsoft, SAP, and Oracle who are investing billions in AI-native ERP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launch of SaaS subscription-based ERP product in Q3 FY2026, creating recurring revenue and reducing extreme project-based volatility [1]</w:t>
      </w:r>
    </w:p>
    <w:p>
      <w:pPr>
        <w:spacing w:before="40" w:after="40"/>
        <w:ind w:left="283"/>
      </w:pPr>
      <w:r>
        <w:rPr>
          <w:rFonts w:ascii="Calibri" w:hAnsi="Calibri"/>
          <w:b/>
          <w:color w:val="4A6B25"/>
          <w:sz w:val="20"/>
        </w:rPr>
        <w:t xml:space="preserve">2. </w:t>
      </w:r>
      <w:r>
        <w:rPr>
          <w:rFonts w:ascii="Calibri" w:hAnsi="Calibri"/>
          <w:b w:val="0"/>
          <w:color w:val="3A4A28"/>
          <w:sz w:val="20"/>
        </w:rPr>
        <w:t>Sustained revenue recovery above FY2023 levels ($5M+) demonstrating stabilization of client base and successful diversification into trading, logistics, and property management verticals [1]</w:t>
      </w:r>
    </w:p>
    <w:p>
      <w:pPr>
        <w:spacing w:before="40" w:after="40"/>
        <w:ind w:left="283"/>
      </w:pPr>
      <w:r>
        <w:rPr>
          <w:rFonts w:ascii="Calibri" w:hAnsi="Calibri"/>
          <w:b/>
          <w:color w:val="4A6B25"/>
          <w:sz w:val="20"/>
        </w:rPr>
        <w:t xml:space="preserve">3. </w:t>
      </w:r>
      <w:r>
        <w:rPr>
          <w:rFonts w:ascii="Calibri" w:hAnsi="Calibri"/>
          <w:b w:val="0"/>
          <w:color w:val="3A4A28"/>
          <w:sz w:val="20"/>
        </w:rPr>
        <w:t>Maintained Nasdaq compliance and improved investor confidence following the stabilization of stock price above $1.00 after two reverse stock splits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Ongoing Nasdaq delisting risk — two reverse stock splits in four months and stock trading 63% below IPO price signal persistent inability to maintain institutional-quality listing standards [1][3]</w:t>
      </w:r>
    </w:p>
    <w:p>
      <w:pPr>
        <w:spacing w:before="40" w:after="40"/>
        <w:ind w:left="283"/>
      </w:pPr>
      <w:r>
        <w:rPr>
          <w:rFonts w:ascii="Calibri" w:hAnsi="Calibri"/>
          <w:b/>
          <w:color w:val="4A6B25"/>
          <w:sz w:val="20"/>
        </w:rPr>
        <w:t xml:space="preserve">2. </w:t>
      </w:r>
      <w:r>
        <w:rPr>
          <w:rFonts w:ascii="Calibri" w:hAnsi="Calibri"/>
          <w:b w:val="0"/>
          <w:color w:val="3A4A28"/>
          <w:sz w:val="20"/>
        </w:rPr>
        <w:t>Extreme client concentration with 70% of revenue from a limited number of clients — loss of a single major account caused an 86% revenue decline in FY2024, and the 8-employee organization has no redundancy [1]</w:t>
      </w:r>
    </w:p>
    <w:p>
      <w:pPr>
        <w:spacing w:before="40" w:after="40"/>
        <w:ind w:left="283"/>
      </w:pPr>
      <w:r>
        <w:rPr>
          <w:rFonts w:ascii="Calibri" w:hAnsi="Calibri"/>
          <w:b/>
          <w:color w:val="4A6B25"/>
          <w:sz w:val="20"/>
        </w:rPr>
        <w:t xml:space="preserve">3. </w:t>
      </w:r>
      <w:r>
        <w:rPr>
          <w:rFonts w:ascii="Calibri" w:hAnsi="Calibri"/>
          <w:b w:val="0"/>
          <w:color w:val="3A4A28"/>
          <w:sz w:val="20"/>
        </w:rPr>
        <w:t>AI-native ERP platforms from Microsoft, SAP, and Oracle could eliminate demand for small custom ERP providers, and the company's negligible R&amp;D budget (8 employees total) makes competitive investment impossible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Republic Power's core business — customized ERP software solutions and consulting — faces severe AI disruption risk [1][2]. Microsoft Dynamics Copilot, SAP Joule, and Oracle AI are integrating AI-native capabilities into enterprise ERP systems, directly threatening the demand for small custom ERP providers. AI-powered no-code/low-code platforms like Mendix and OutSystems can increasingly replicate the custom workflow automation that RPGL provides. The company's niche government agency relationships in Singapore and Malaysia provide some regulatory and relationship-based protection, scoring above the VULNERABLE floor. However, 70% client concentration means AI-driven displacement of even one major account could be catastrophic, and the 8-employee organization cannot compete on AI investment with enterprise software giants spending billions [1]. AI Opportunity (0/1): While the company mentions AI integration in ERP solutions, no specific AI-related revenue has been quantified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Republic Power Group Form 20-F Annual Report FY2025 — Revenue SGD 3.0M, Revenue History, Client Concentration, SaaS Pilot, Reverse Stock Splits, Nasdaq Compliance, 2025-2026</w:t>
      </w:r>
    </w:p>
    <w:p>
      <w:pPr>
        <w:spacing w:before="20" w:after="20"/>
        <w:ind w:left="170"/>
      </w:pPr>
      <w:r>
        <w:rPr>
          <w:rFonts w:ascii="Calibri" w:hAnsi="Calibri"/>
          <w:b/>
          <w:color w:val="4A6B25"/>
          <w:sz w:val="15"/>
        </w:rPr>
        <w:t xml:space="preserve">2. </w:t>
      </w:r>
      <w:r>
        <w:rPr>
          <w:rFonts w:ascii="Calibri" w:hAnsi="Calibri"/>
          <w:b w:val="0"/>
          <w:color w:val="3A4A28"/>
          <w:sz w:val="17"/>
        </w:rPr>
        <w:t>Republic Power Group Corporate Profile and SEC Filings — AI/IoT ERP Integration, CEO Ziyang Long, Singapore/Malaysia Operations, January 2026 Offering,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Simply Wall St — RPGL Key Statistics: Stock Price $1.46, Market Cap $23.6M, D/E 1.8%, Operating Margin -40.9%,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