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RPM</w:t>
      </w:r>
      <w:r>
        <w:rPr>
          <w:rFonts w:ascii="Calibri" w:hAnsi="Calibri"/>
          <w:b/>
          <w:color w:val="1A2010"/>
          <w:sz w:val="40"/>
        </w:rPr>
        <w:t xml:space="preserve">  RPM International Inc.</w:t>
      </w:r>
    </w:p>
    <w:p>
      <w:pPr>
        <w:spacing w:after="120"/>
      </w:pPr>
      <w:r>
        <w:rPr>
          <w:rFonts w:ascii="Calibri" w:hAnsi="Calibri"/>
          <w:b/>
          <w:color w:val="6E8450"/>
          <w:sz w:val="18"/>
        </w:rPr>
        <w:t>DIVIDEND SLEEVE · 2026-09-30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RPM International manufactures and markets specialty chemicals for construction, industrial, specialty, and consumer markets through three segments: CPG (Construction Products Group), PCG (Performance Coatings Group), and Consumer. Key brands include Rust-Oleum (#1 in consumer protective coatings), Tremco (commercial waterproofing), DAP (caulks and sealants), Carboline (corrosion control), and Euclid Chemical (concrete admixtures). Founded in 1947 by Frank C. Sullivan, RPM is now led by his grandson Frank Sullivan (CEO since 2002) and has grown to $7.86B in annual revenue through 100+ acquisitions. Headquartered in Medina, Ohio.</w:t>
      </w:r>
    </w:p>
    <w:p>
      <w:r>
        <w:rPr>
          <w:rFonts w:ascii="Calibri" w:hAnsi="Calibri"/>
          <w:b/>
          <w:color w:val="6E8450"/>
          <w:sz w:val="18"/>
        </w:rPr>
        <w:t>17,546 Employees · https://www.rpminc.com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RPM's business model has remained fundamentally unchanged over the past 5 years — specialty coatings and sealants distributed through construction, industrial, and consumer channels. The MAP to Growth operational restructuring (2018-2022) and successor CIR initiative improved margins but did not open new revenue streams or constitute a product-driven pivot [1]. Incremental product extensions in concrete admixtures and ICF building systems expand adjacencies but are evolutionary, not transformative. AI Deployment (0/2): No evidence of AI-powered products shipping to customers or quantified internal AI-driven efficiency gains. RPM's manufacturing and distribution operations have not publicly adopted AI beyond basic ERP and supply chain tools [2]. Market Share (2/2): RPM is the world's largest manufacturer of specialty coatings and sealants with $7.86B in revenue. Rust-Oleum holds the #1 position in consumer protective coatings in North America. Tremco is a market leader in commercial waterproofing, DAP leads in consumer caulks and sealants, and Carboline is a top-tier corrosion control brand [1]. These category-leading positions across multiple specialty niches represent genuine market share dominance. Product Pipeline (0/2): No specific next-generation products with named launch dates or revenue visibility were disclosed in FY2026 earnings materials. Product development focuses on reformulations and line extensions rather than breakthrough innovation [1]. R&amp;D Intensity (0/1): RPM's R&amp;D spending is below 1% of revenue, well under the specialty chemicals industry average of 2-3%, reflecting a strategy built on brand management and acquisitions rather than internal innovation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RPM's stated purpose — 'Together, We Build a Better World' — identifies a connection between its coatings and sealants work and a larger societal benefit, but is not distinctive enough to differentiate from peers in the construction materials space. The mission is clear and reasonably thoughtful but lacks the specificity or transformative ambition that would score higher [3]. Community &amp; Charitable Impact (1/2): RPM maintains corporate philanthropy programs and published its first ESG report in 2020 outlining community involvement, associate benefits, and charitable giving. An ESG Oversight Committee was established in 2021 to formalize governance around social responsibility [3]. However, no specific dollar amounts, distinctive foundation programs, or measurable community impact data were disclosed. Employee Retention (0/2): Glassdoor reviews rate RPM 3.1/5 on culture and values and 3.0 on career opportunities, with employee feedback noting that 'management lacks leadership skills' and limited growth opportunities [2]. No publicly available data on voluntary turnover or average tenure. These mixed signals do not support a positive retention score. Insider Buying (0/2): No evidence of meaningful net insider buying by CEO Frank Sullivan or other executives in the last 12 months. Despite Sullivan's 23-year tenure, insider transaction data does not show net buying activity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dividend weighting. RPM demonstrates strong financial fundamentals with ROE of 21.37% above the 15% target, forward P/E of 14.87x well below the 20x target, and D/E of 89.0% moderately above the 70% target but manageable for an acquisition-driven business [4]. Revenue growth of 7.2% YoY approaches the 10% target, and the estimated 5-year revenue CAGR of ~7.4% reflects consistent mid-single-digit organic growth supplemented by acquisitions [1]. The primary drag is the thin profit margin of 8.41%, typical for specialty chemicals but far below the 20% target. Dividend metrics are exceptional: 50+ consecutive years of dividend increases (a Dividend King), payout ratio of 41.2% near the 40% target, and 5-year dividend growth CAGR of ~7.3% above the 6% target [4]. The stock clears the liquidity floor at ~$118M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RPM demonstrates meaningful infinite game characteristics through its multigenerational family leadership (Sullivan family involvement since 1947, three generations of family CEOs) and a remarkably consistent acquisition-driven growth strategy sustained over 75+ years. Frank Sullivan's 23-year CEO tenure provides strategic stability rare in public companies. However, the company's purpose lacks the transformative ambition Sinek values, employee culture indicators are mixed, and competitive strategy focuses more on market position accumulation than self-improvement through worthy rivals.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RPM's multigenerational commitment to building the world's leading specialty coatings franchise represents a genuine cause that has been partially lived over 75+ years. The Sullivan family's three-generation leadership creates continuity of purpose unusual in public companies — Frank C. Sullivan founded the company in 1947, his son Thomas led it, and grandson Frank has served as CEO since 2002 [1]. The 'Together, We Build a Better World' purpose connects RPM's work to infrastructure durability and building protection. Strategic decisions — maintaining 100+ acquired brands rather than consolidating, prioritizing niche market leadership over short-term synergies — trace back to this philosophy. However, the cause hasn't been tested through a transformative crisis requiring existential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RPM maintains a stable, decentralized organizational structure with 17,546 employees. The company's acquisition model preserves acquired brand identities and local management, suggesting a degree of organizational trust. Leadership continuity is exceptional — CEO Frank Sullivan's 23-year tenure and the broader Sullivan family involvement over 75 years provide stability [2]. However, Glassdoor ratings of 3.1/5 on culture and values and employee feedback citing limited growth opportunities and management shortcomings suggest trust is adequate but not exceptional. No evidence of distinctive cultural practices creating psychological safety beyond normal corporate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that RPM frames competition as motivation for self-improvement rather than market position defense. The specialty coatings market is fragmented, and RPM's competitive strategy centers on acquiring niche brands to build market share — a fundamentally accumulative (finite) approach. Management commentary in earnings calls focuses on 'record sales,' segment performance, and market position rather than learning from competitors like Sherwin-Williams, PPG, or Akzo Nobel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RPM has evolved its business model incrementally over decades — expanding from its original Rust-Oleum and Tremco base into concrete admixtures, performance coatings, ICF building systems, and international markets through 100+ acquisitions [1]. The MAP to Growth restructuring (2018-2022) and CIR initiative represent meaningful operational adaptation. However, RPM has never fundamentally reinvented itself or abandoned a core business. The evolution has been additive and incremental rather than transformative — the company still makes and sells specialty coatings and sealants, just in more categories and geographies than before.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RPM demonstrated courage through the MAP to Growth initiative, which required painful facility consolidations, workforce restructuring, and investment in operational improvements during a period when near-term earnings were pressured [1]. Frank Sullivan's willingness to maintain the 50+ year dividend growth streak through cyclical downturns, including continuing dividend increases during the COVID-19 pandemic, shows commitment to long-term stakeholder alignment over short-term cash preservation. However, no evidence of truly transformative bets — the company's strategy remains steadily incremental rather than involving high-stakes long-term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RPM International is a Dividend King generating $7.86B in FY2026 revenue (+6.7%) with 50+ consecutive years of dividend increases and a forward P/E of just 14.87x [1][4]. The MAP to Growth/CIR operational initiatives have driven record adjusted EBIT margins, and the company holds category-leading positions across specialty coatings niches — Rust-Oleum in consumer coatings, Tremco in commercial waterproofing, DAP in sealants, Carboline in corrosion control. Infrastructure spending tailwinds from the IIJA and data center construction support the Construction Products and Performance Coatings segments. The 2.16% dividend yield with a sustainable 41% payout ratio and ~7% five-year dividend growth CAGR offers reliable income compounding. At 14.87x forward earnings, the stock trades at a discount to the S&amp;P 500 while delivering mid-single-digit organic growth supplemented by proven acquisition capabilities.</w:t>
      </w:r>
    </w:p>
    <w:p>
      <w:pPr>
        <w:spacing w:after="120"/>
      </w:pPr>
      <w:r>
        <w:rPr>
          <w:rFonts w:ascii="Calibri" w:hAnsi="Calibri"/>
          <w:b w:val="0"/>
          <w:color w:val="3A4A28"/>
          <w:sz w:val="20"/>
        </w:rPr>
        <w:t>The bear case centers on thin margins, decelerating growth, and limited innovation. Profit margin of 8.41% remains well below specialty chemicals peers, and GAAP EPS declined 1.4% in FY2026 despite top-line growth as raw material inflation and restructuring costs compressed earnings [1][4]. FY2027 guidance of only 3-7% revenue growth suggests decelerating momentum from the 6.7% delivered in FY2026. Debt-to-equity of 89% reflects the acquisition-heavy strategy's ongoing leverage requirements. Innovation is essentially absent — no AI strategy, no transformative product pipeline, and R&amp;D intensity below 1% of revenue leaves RPM vulnerable to competitors investing more aggressively in technology-enabled coatings solutions. The business is cyclically exposed to construction and industrial end markets sensitive to interest rates and housing activity, with ~60% of revenue tied to commercial and residential construction. Glassdoor ratings of 3.1/5 suggest cultural challenges that could limit talent retention in a tightening labor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Infrastructure Investment and Jobs Act spending acceleration in FY2027-2028 directly benefiting RPM's Construction Products Group through concrete admixtures, waterproofing, and protective coatings demand for bridges, highways, and public infrastructure [1]</w:t>
      </w:r>
    </w:p>
    <w:p>
      <w:pPr>
        <w:spacing w:before="40" w:after="40"/>
        <w:ind w:left="283"/>
      </w:pPr>
      <w:r>
        <w:rPr>
          <w:rFonts w:ascii="Calibri" w:hAnsi="Calibri"/>
          <w:b/>
          <w:color w:val="4A6B25"/>
          <w:sz w:val="20"/>
        </w:rPr>
        <w:t xml:space="preserve">2. </w:t>
      </w:r>
      <w:r>
        <w:rPr>
          <w:rFonts w:ascii="Calibri" w:hAnsi="Calibri"/>
          <w:b w:val="0"/>
          <w:color w:val="3A4A28"/>
          <w:sz w:val="20"/>
        </w:rPr>
        <w:t>FY2027 guidance for 5-10% adjusted EBITDA growth driven by CIR operational improvements and pricing discipline, with potential for margin expansion as titanium dioxide and resin input costs normalize from FY2026 peaks [1]</w:t>
      </w:r>
    </w:p>
    <w:p>
      <w:pPr>
        <w:spacing w:before="40" w:after="40"/>
        <w:ind w:left="283"/>
      </w:pPr>
      <w:r>
        <w:rPr>
          <w:rFonts w:ascii="Calibri" w:hAnsi="Calibri"/>
          <w:b/>
          <w:color w:val="4A6B25"/>
          <w:sz w:val="20"/>
        </w:rPr>
        <w:t xml:space="preserve">3. </w:t>
      </w:r>
      <w:r>
        <w:rPr>
          <w:rFonts w:ascii="Calibri" w:hAnsi="Calibri"/>
          <w:b w:val="0"/>
          <w:color w:val="3A4A28"/>
          <w:sz w:val="20"/>
        </w:rPr>
        <w:t>Continued bolt-on acquisition strategy adding specialized brands and capabilities, with RPM's 75-year track record of successfully integrating 100+ acquisitions providing a repeatable growth engine in the fragmented $150B+ global coatings 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Raw material cost inflation in titanium dioxide, resins, and petrochemical-derived inputs could further compress the already-thin 8.41% profit margin — FY2026 GAAP EPS declined 1.4% despite 6.7% revenue growth, demonstrating margin vulnerability to input cost spikes [1][4]</w:t>
      </w:r>
    </w:p>
    <w:p>
      <w:pPr>
        <w:spacing w:before="40" w:after="40"/>
        <w:ind w:left="283"/>
      </w:pPr>
      <w:r>
        <w:rPr>
          <w:rFonts w:ascii="Calibri" w:hAnsi="Calibri"/>
          <w:b/>
          <w:color w:val="4A6B25"/>
          <w:sz w:val="20"/>
        </w:rPr>
        <w:t xml:space="preserve">2. </w:t>
      </w:r>
      <w:r>
        <w:rPr>
          <w:rFonts w:ascii="Calibri" w:hAnsi="Calibri"/>
          <w:b w:val="0"/>
          <w:color w:val="3A4A28"/>
          <w:sz w:val="20"/>
        </w:rPr>
        <w:t>Cyclical exposure to construction and industrial end markets creates vulnerability if interest rate policy tightens further or housing starts decline, with approximately 60% of revenue tied to commercial and residential construction activity [1]</w:t>
      </w:r>
    </w:p>
    <w:p>
      <w:pPr>
        <w:spacing w:before="40" w:after="40"/>
        <w:ind w:left="283"/>
      </w:pPr>
      <w:r>
        <w:rPr>
          <w:rFonts w:ascii="Calibri" w:hAnsi="Calibri"/>
          <w:b/>
          <w:color w:val="4A6B25"/>
          <w:sz w:val="20"/>
        </w:rPr>
        <w:t xml:space="preserve">3. </w:t>
      </w:r>
      <w:r>
        <w:rPr>
          <w:rFonts w:ascii="Calibri" w:hAnsi="Calibri"/>
          <w:b w:val="0"/>
          <w:color w:val="3A4A28"/>
          <w:sz w:val="20"/>
        </w:rPr>
        <w:t>Acquisition integration risk as RPM pursues growth through M&amp;A in a rising-rate environment — a failed integration or overlevered deal could strain the 89% D/E ratio and threaten the 50+ year dividend growth streak that underpins the income-investor thesis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RPM's core business — manufacturing and distributing physical specialty chemicals including coatings, sealants, waterproofing materials, concrete admixtures, and fireproofing systems — is structurally immune to AI substitution. AI cannot produce physical coatings, apply waterproofing membranes, or replace the need for corrosion protection in infrastructure [1]. Construction, industrial maintenance, and building protection require physical materials regardless of AI advancement. Regulatory requirements for fire protection, environmental coatings, and building codes create additional structural moats. AI-driven infrastructure buildout (data centers, power generation) may increase demand for RPM's protective coatings and fireproofing products. No analysts have flagged AI as a disruption risk for RPM's business lines. AI Opportunity (0/1): RPM does not generate revenue from AI-related products or services. The company has not disclosed any AI-powered product lines or quantified AI-driven revenue contributions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RPM International Q4 FY2026 Earnings Release — Record Revenue $7.86B (+6.7%), Record Adjusted EBIT, FY2027 Guidance 3-7% Sales Growth and 5-10% EBITDA Growth, July 2026</w:t>
      </w:r>
    </w:p>
    <w:p>
      <w:pPr>
        <w:spacing w:before="20" w:after="20"/>
        <w:ind w:left="170"/>
      </w:pPr>
      <w:r>
        <w:rPr>
          <w:rFonts w:ascii="Calibri" w:hAnsi="Calibri"/>
          <w:b/>
          <w:color w:val="4A6B25"/>
          <w:sz w:val="15"/>
        </w:rPr>
        <w:t xml:space="preserve">2. </w:t>
      </w:r>
      <w:r>
        <w:rPr>
          <w:rFonts w:ascii="Calibri" w:hAnsi="Calibri"/>
          <w:b w:val="0"/>
          <w:color w:val="3A4A28"/>
          <w:sz w:val="17"/>
        </w:rPr>
        <w:t>RPM International Leadership and Culture — Frank Sullivan 23-Year CEO Tenure, Glassdoor 3.1/5 Ratings, Coatings World Leadership Changes, 2026</w:t>
      </w:r>
    </w:p>
    <w:p>
      <w:pPr>
        <w:spacing w:before="20" w:after="20"/>
        <w:ind w:left="170"/>
      </w:pPr>
      <w:r>
        <w:rPr>
          <w:rFonts w:ascii="Calibri" w:hAnsi="Calibri"/>
          <w:b/>
          <w:color w:val="4A6B25"/>
          <w:sz w:val="15"/>
        </w:rPr>
        <w:t xml:space="preserve">3. </w:t>
      </w:r>
      <w:r>
        <w:rPr>
          <w:rFonts w:ascii="Calibri" w:hAnsi="Calibri"/>
          <w:b w:val="0"/>
          <w:color w:val="3A4A28"/>
          <w:sz w:val="17"/>
        </w:rPr>
        <w:t>RPM International ESG Report and Governance — First ESG Report 2020, ESG Oversight Committee Established 2021, Community and Environmental Initiatives, BusinessWire and RPM Corporate, 2020-2026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RPM Key Statistics: Forward P/E 14.87x, ROE 21.37%, D/E 89.0%, Profit Margin 8.41%, Dividend Yield 2.16%, Stock Price $99.97,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