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RPRX</w:t>
      </w:r>
      <w:r>
        <w:rPr>
          <w:rFonts w:ascii="Calibri" w:hAnsi="Calibri"/>
          <w:b/>
          <w:color w:val="1A2010"/>
          <w:sz w:val="40"/>
        </w:rPr>
        <w:t xml:space="preserve">  Royalty Pharma plc</w:t>
      </w:r>
    </w:p>
    <w:p>
      <w:pPr>
        <w:spacing w:after="120"/>
      </w:pPr>
      <w:r>
        <w:rPr>
          <w:rFonts w:ascii="Calibri" w:hAnsi="Calibri"/>
          <w:b/>
          <w:color w:val="6E8450"/>
          <w:sz w:val="18"/>
        </w:rPr>
        <w:t>GROWTH SLEEVE · 2026-09-01 · Inspire: 51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Royalty Pharma is the world's largest buyer of biopharmaceutical royalties, with a portfolio of royalties on approximately 35 marketed therapies and 20 development-stage candidates spanning rare disease, oncology, neuroscience, infectious disease, hematology, and diabetes. Founded in 1996 by Pablo Legorreta, the company has deployed $30B+ in capital to advance innovation across the drug development ecosystem, collaborating with academic institutions, biotechs, and global pharma companies. Q2 2026 Royalty Receipts grew 14% YoY to $768M driven by Tremfya, Voranigo, Imdelltra, and Evrysdi, and the company raised full-year 2026 guidance for Portfolio Receipts. Market cap ~$27B.</w:t>
      </w:r>
    </w:p>
    <w:p>
      <w:r>
        <w:rPr>
          <w:rFonts w:ascii="Calibri" w:hAnsi="Calibri"/>
          <w:b/>
          <w:color w:val="6E8450"/>
          <w:sz w:val="18"/>
        </w:rPr>
        <w:t>105 Employees · https://www.royaltypharma.com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Royalty Pharma has consistently scaled its royalty acquisition model — deploying $30B+ in lifetime capital and expanding into academic institution partnerships in 2026 [1][2]. However, this represents scaling an existing business model rather than product launches or transformative pivots. The core model (acquire royalties, collect cash flows) has remained fundamentally unchanged since 1996. AI Deployment (1/2): RPRX appointed Lucas Glass (ex-IQVIA SVP) as Head of AI to embed AI into royalty evaluation and deal sourcing — a serious investment in analytical capability but no AI products shipping or quantified savings yet [2]. Market Share (2/2): Royalty Pharma is the dominant player in biopharmaceutical royalty acquisition with no direct public competitor of comparable scale. The $30B+ in lifetime capital deployment and continued large-scale transactions reinforce its market-defining position as the world's biggest acquirer of pharmaceutical royalty streams [2]. Pipeline (1/2): 20 development-stage product candidates provide future royalty upside as each approval creates a new long-duration cash flow stream. Raised 2026 guidance for Portfolio Receipts driven by Tremfya, Voranigo, Imdelltra, and Evrysdi growth [1]. R&amp;D Intensity (0/1): As a royalty aggregator, RPRX does not conduct R&amp;D — it funds others' innovation through capital deployment.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Pablo Legorreta's purpose — funding biopharmaceutical innovation to accelerate breakthrough medicines reaching patients — is specific, reflects genuine intentionality, and connects the company's work to a larger purpose in human health [2]. He built this singular vision from scratch in 1996 as a former Lazard M&amp;A banker who saw an opportunity to transform how drug development is funded. The $600M social bond for orphan diseases and underserved conditions demonstrates purpose beyond profit. Community Impact (1/2): Royalty Pharma has committed ~$29M to alliances addressing complex healthcare challenges and introduced a Social Bond Framework aligned with UN SDG 3 (Good Health and Well-being) [3]. Approximately 59% of the workforce are women. The social bond financing for orphan diseases shows meaningful if modest community investment. Employee Retention (1/2): With 105 employees (up from 86 in 2023, +22% growth), RPRX operates as an exceptionally lean organization where Legorreta's 30-year founder-CEO tenure provides stable leadership. The small team size inherently requires high trust, and the team's longevity is reportedly strong [2]. Insider Buying (0/2): Company insiders have collectively sold $115M more than they bought via options and on-market transactions in the last 12 months. While Legorreta received equity awards (143,821 shares in early 2026), these are compensation grants rather than discretionary open-market purchases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check passes: 2,780,000 avg vol x $60.78 = $169M &gt;&gt; $1M floor. Calculated mechanically for growth-stock metrics. D/E of 92% scores 0.90 (1x weight) — manageable leverage against strong cash flows, with $8.97B in total debt offset by predictable royalty streams [1][5]. ROE of 13.2% scores 0.88 (2x weight) — slightly below 15% target but reflects the asset-heavy royalty portfolio structure [5]. Revenue Growth YoY of 13% (H1 2026 total income of $1.30B vs H1 2025 of $1.15B, driven by 14% Royalty Receipts growth) scores 1.0 (1x) [1]. Revenue Growth 5yr CAGR of ~4% scores 0.60 (2x weight) — GAAP revenue growth is modest but accelerating with the Tremfya/Voranigo/Imdelltra ramp [1]. Forward P/E of 9.03 scores 1.0 (1x) — remarkably cheap for predictable royalty cash flows [5]. Profit Margin of 32.0% scores 1.0 (1x) — reflecting the capital-light ~105-employee operating model [5]. Forward PEG of 0.72 scores 1.0 (2x weight) — deeply attractive growth-adjusted valuation [5]. Weighted sum = 0.90+1.76+1.0+1.20+1.0+1.0+2.0 = 8.86 / max 10 x 10 = 8.86, rounds to 9.</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Royalty Pharma under Pablo Legorreta's 30-year leadership demonstrates strong infinite game characteristics — a founder-led company with a consistent purpose that has endured through multiple biotech cycles, patent cliff fears, and market disruptions. The focus on funding biopharmaceutical innovation connects financial returns to advancing human health. However, the cause hasn't been tested through a leadership transition (Legorreta is the only CEO), the $115M in net insider selling over the past 12 months creates tension with the mission narrative, and the business model is ultimately financial rather than directly mission-driven.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Legorreta's purpose — funding biopharmaceutical innovation to accelerate breakthrough medicines reaching patients — is a genuine Just Cause that has been consistently pursued for 30 years since founding in 1996 [2]. The $30B+ in lifetime capital deployment, $600M social bond for orphan diseases, and portfolio spanning 35+ marketed therapies all trace back to this purpose. The cause is inclusive (benefiting patients globally), service-oriented, and idealistic. Falls short of 3/3 because it hasn't survived a leadership transition, and the connection between royalty ownership and patient welfare is indirect — RPRX does not develop or deliver drugs.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105 employees (up 22% from 86 in 2023), Royalty Pharma operates as an exceptionally lean organization where trust and collaboration are essential for executing billion-dollar transactions [2]. Legorreta's 30-year tenure as founder-CEO provides stable leadership continuity, and the small team size inherently requires high empowerment. The company's growth from 86 to 105 employees suggests confidence in the team structure. Limited public data on organizational culture prevents deeper assessment.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RPRX competes for deal flow against private equity, venture capital, pharma companies retaining their own royalties, and specialty acquirers like DRI Healthcare. Management frames competition as expanding the royalty market rather than defeating competitors — positioning as the preferred partner for innovation funding [2]. The willingness to hire the Head of AI from IQVIA (a potential analytical rival) and Legorreta's cooperative framing of the competitive landscape reflect an infinite competitive mindset focused on improvement rather than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Royalty Pharma evolved from a private partnership to a publicly traded company (IPO 2020), expanded from approved-drug royalties to development-stage funding, added synthetic royalties and academic institution partnerships, and appointed a Head of AI to modernize deal evaluation [2]. These are meaningful incremental evolutions. However, the core business model — acquire pharmaceutical royalties, collect cash flows — has remained fundamentally unchanged for 30 years. This is remarkable consistency rather than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Legorreta has deployed $30B+ over 30 years, consistently making large-scale, long-duration capital commitments in an industry with inherent binary risk [2]. The company raised full-year 2026 guidance for Portfolio Receipts on the strength of Q2 2026 results, demonstrating confidence in the portfolio's durability [1]. The expansion into academic institution funding opens a new deal channel. However, these deployments are the core business model, not sacrifices of short-term results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Royalty Pharma delivered strong H1 2026 results with Q2 Royalty Receipts growing 14% YoY to $768M driven by Tremfya, Voranigo, Imdelltra, and Evrysdi, prompting the company to raise full-year 2026 guidance for Portfolio Receipts [1]. At a forward P/E of just 9.0x and PEG of 0.72 — remarkably cheap for a business with 32% profit margin and predictable royalty cash flows — the market appears to over-discount patent cliff and biosimilar risks [5]. H1 2026 total income reached $1.30B (up 13% from H1 2025), and Q2 adjusted EBITDA and Portfolio Cash Flow each reached $736M, reflecting the extraordinarily lean operating model where costs run at just 4.8% of Portfolio Receipts [1]. The company's $30B+ lifetime deployment track record under Legorreta's 30-year leadership, combined with the expansion into academic institution partnerships, demonstrates a sustainable deal pipeline.</w:t>
      </w:r>
    </w:p>
    <w:p>
      <w:pPr>
        <w:spacing w:after="120"/>
      </w:pPr>
      <w:r>
        <w:rPr>
          <w:rFonts w:ascii="Calibri" w:hAnsi="Calibri"/>
          <w:b w:val="0"/>
          <w:color w:val="3A4A28"/>
          <w:sz w:val="20"/>
        </w:rPr>
        <w:t>The bear case centers on growth durability and portfolio concentration risk. While the company raised 2026 guidance, GAAP revenue has been largely flat over the past 5 years (~$2.3-2.4B annually), with the more relevant Portfolio Receipts metric showing lumpy growth driven by milestone payments [1]. The $8.97B total debt load, while manageable against current cash flows, creates refinancing risk if interest rates remain elevated. GAAP earnings are extremely volatile — Q2 2026 net income of only $17.9M vs Q1's $294.7M — driven by mark-to-market adjustments on equity investments that obscure the underlying cash generation [1]. The $115M in net insider selling over the past 12 months signals reduced conviction from those with the deepest portfolio knowledge [4]. Medicare drug price negotiation under the Inflation Reduction Act could reduce future royalty values on negotiated drugs, and biosimilar competition for key therapies creates ongoing revenue replacement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9.0x and PEG of 0.72 represent deep value for a business with 32% profit margin and predictable royalty cash flows — multiple expansion to pharma-average 12-15x would drive 33-67% upside from $60.78 [5]</w:t>
      </w:r>
    </w:p>
    <w:p>
      <w:pPr>
        <w:spacing w:before="40" w:after="40"/>
        <w:ind w:left="283"/>
      </w:pPr>
      <w:r>
        <w:rPr>
          <w:rFonts w:ascii="Calibri" w:hAnsi="Calibri"/>
          <w:b/>
          <w:color w:val="4A6B25"/>
          <w:sz w:val="20"/>
        </w:rPr>
        <w:t xml:space="preserve">2. </w:t>
      </w:r>
      <w:r>
        <w:rPr>
          <w:rFonts w:ascii="Calibri" w:hAnsi="Calibri"/>
          <w:b w:val="0"/>
          <w:color w:val="3A4A28"/>
          <w:sz w:val="20"/>
        </w:rPr>
        <w:t>Q2 2026 Royalty Receipts growth of 14% YoY to $768M, driven by Tremfya, Voranigo, Imdelltra, and Evrysdi, with raised full-year guidance signaling accelerating portfolio momentum [1]</w:t>
      </w:r>
    </w:p>
    <w:p>
      <w:pPr>
        <w:spacing w:before="40" w:after="40"/>
        <w:ind w:left="283"/>
      </w:pPr>
      <w:r>
        <w:rPr>
          <w:rFonts w:ascii="Calibri" w:hAnsi="Calibri"/>
          <w:b/>
          <w:color w:val="4A6B25"/>
          <w:sz w:val="20"/>
        </w:rPr>
        <w:t xml:space="preserve">3. </w:t>
      </w:r>
      <w:r>
        <w:rPr>
          <w:rFonts w:ascii="Calibri" w:hAnsi="Calibri"/>
          <w:b w:val="0"/>
          <w:color w:val="3A4A28"/>
          <w:sz w:val="20"/>
        </w:rPr>
        <w:t>20 development-stage product candidates provide pipeline optionality, and AI-accelerated drug discovery expanding the addressable deal market increases RPRX's opportunity set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earnings volatility obscures underlying economics — Q2 2026 net income of $17.9M vs Q1's $294.7M reflects mark-to-market swings rather than operating performance, confusing investors and potentially suppressing the valuation multiple [1]</w:t>
      </w:r>
    </w:p>
    <w:p>
      <w:pPr>
        <w:spacing w:before="40" w:after="40"/>
        <w:ind w:left="283"/>
      </w:pPr>
      <w:r>
        <w:rPr>
          <w:rFonts w:ascii="Calibri" w:hAnsi="Calibri"/>
          <w:b/>
          <w:color w:val="4A6B25"/>
          <w:sz w:val="20"/>
        </w:rPr>
        <w:t xml:space="preserve">2. </w:t>
      </w:r>
      <w:r>
        <w:rPr>
          <w:rFonts w:ascii="Calibri" w:hAnsi="Calibri"/>
          <w:b w:val="0"/>
          <w:color w:val="3A4A28"/>
          <w:sz w:val="20"/>
        </w:rPr>
        <w:t>$8.97B total debt creates refinancing risk in a higher-rate environment, with annual interest expense consuming significant cash flow from royalty receipts [5]</w:t>
      </w:r>
    </w:p>
    <w:p>
      <w:pPr>
        <w:spacing w:before="40" w:after="40"/>
        <w:ind w:left="283"/>
      </w:pPr>
      <w:r>
        <w:rPr>
          <w:rFonts w:ascii="Calibri" w:hAnsi="Calibri"/>
          <w:b/>
          <w:color w:val="4A6B25"/>
          <w:sz w:val="20"/>
        </w:rPr>
        <w:t xml:space="preserve">3. </w:t>
      </w:r>
      <w:r>
        <w:rPr>
          <w:rFonts w:ascii="Calibri" w:hAnsi="Calibri"/>
          <w:b w:val="0"/>
          <w:color w:val="3A4A28"/>
          <w:sz w:val="20"/>
        </w:rPr>
        <w:t>Medicare drug price negotiation under the Inflation Reduction Act could reduce future royalty values on negotiated drugs, and $115M in net insider selling over 12 months signals reduced conviction from those with the deepest portfolio knowledge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Royalty Pharma's core business — owning contractual royalty streams on approved and development-stage biopharmaceutical therapies — is structurally immune to AI disruption. The business involves deeply regulated processes (FDA approval, patent law, pharmaceutical regulation) and legal/contractual ownership of cash flows that AI cannot substitute [2]. Drug development requires clinical trials, physical manufacturing, and regulatory approval that remain firmly in the physical world. Critically, AI-accelerated drug discovery actually INCREASES demand for RPRX's services by expanding the pipeline of drugs reaching approval and creating more royalty acquisition opportunities. The Q2 2026 growth in Tremfya, Voranigo, Imdelltra, and Evrysdi demonstrates how diverse therapeutic areas drive durable royalty streams regardless of AI trends [1]. AI Opportunity (0/1): The appointment of Lucas Glass as Head of AI for deal evaluation and sourcing is promising but pre-revenue — no AI products are shipping or generating quantifiable revenue improvements yet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Royalty Pharma Q2 2026 Earnings — Royalty Receipts $768M (+14% YoY), Portfolio Receipts $773M (+6%), raised full-year guidance, adjusted EBITDA $736M, July 2026</w:t>
      </w:r>
    </w:p>
    <w:p>
      <w:pPr>
        <w:spacing w:before="20" w:after="20"/>
        <w:ind w:left="170"/>
      </w:pPr>
      <w:r>
        <w:rPr>
          <w:rFonts w:ascii="Calibri" w:hAnsi="Calibri"/>
          <w:b/>
          <w:color w:val="4A6B25"/>
          <w:sz w:val="15"/>
        </w:rPr>
        <w:t xml:space="preserve">2. </w:t>
      </w:r>
      <w:r>
        <w:rPr>
          <w:rFonts w:ascii="Calibri" w:hAnsi="Calibri"/>
          <w:b w:val="0"/>
          <w:color w:val="3A4A28"/>
          <w:sz w:val="17"/>
        </w:rPr>
        <w:t>Royalty Pharma Corporate — founder-CEO Pablo Legorreta, 30-year history, $30B+ lifetime capital deployment, Head of AI Lucas Glass, academic institution partnerships, royaltypharma.com</w:t>
      </w:r>
    </w:p>
    <w:p>
      <w:pPr>
        <w:spacing w:before="20" w:after="20"/>
        <w:ind w:left="170"/>
      </w:pPr>
      <w:r>
        <w:rPr>
          <w:rFonts w:ascii="Calibri" w:hAnsi="Calibri"/>
          <w:b/>
          <w:color w:val="4A6B25"/>
          <w:sz w:val="15"/>
        </w:rPr>
        <w:t xml:space="preserve">3. </w:t>
      </w:r>
      <w:r>
        <w:rPr>
          <w:rFonts w:ascii="Calibri" w:hAnsi="Calibri"/>
          <w:b w:val="0"/>
          <w:color w:val="3A4A28"/>
          <w:sz w:val="17"/>
        </w:rPr>
        <w:t>Royalty Pharma ESG / Social Bond Framework — $600M social bond for orphan diseases, $29M healthcare alliances, 59% women workforce, Corporate Responsibility Report</w:t>
      </w:r>
    </w:p>
    <w:p>
      <w:pPr>
        <w:spacing w:before="20" w:after="20"/>
        <w:ind w:left="170"/>
      </w:pPr>
      <w:r>
        <w:rPr>
          <w:rFonts w:ascii="Calibri" w:hAnsi="Calibri"/>
          <w:b/>
          <w:color w:val="4A6B25"/>
          <w:sz w:val="15"/>
        </w:rPr>
        <w:t xml:space="preserve">4. </w:t>
      </w:r>
      <w:r>
        <w:rPr>
          <w:rFonts w:ascii="Calibri" w:hAnsi="Calibri"/>
          <w:b w:val="0"/>
          <w:color w:val="3A4A28"/>
          <w:sz w:val="17"/>
        </w:rPr>
        <w:t>SEC Form 4 Filings and Simply Wall St — RPRX insider activity, $115M net selling over 12 months, Legorreta equity awards,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Yahoo Finance — RPRX Key Statistics: Forward PE 9.03, PEG 0.72, D/E 92%, ROE 13.2%, Profit Margin 32%,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