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RSG</w:t>
      </w:r>
      <w:r>
        <w:rPr>
          <w:rFonts w:ascii="Calibri" w:hAnsi="Calibri"/>
          <w:b/>
          <w:color w:val="1A2010"/>
          <w:sz w:val="40"/>
        </w:rPr>
        <w:t xml:space="preserve">  Republic Services, Inc.</w:t>
      </w:r>
    </w:p>
    <w:p>
      <w:pPr>
        <w:spacing w:after="120"/>
      </w:pPr>
      <w:r>
        <w:rPr>
          <w:rFonts w:ascii="Calibri" w:hAnsi="Calibri"/>
          <w:b/>
          <w:color w:val="6E8450"/>
          <w:sz w:val="18"/>
        </w:rPr>
        <w:t>GROWTH SLEEVE · 2026-09-21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Waste Management · NYSE · United States</w:t>
      </w:r>
    </w:p>
    <w:p>
      <w:pPr>
        <w:spacing w:after="80"/>
      </w:pPr>
      <w:r>
        <w:rPr>
          <w:rFonts w:ascii="Calibri" w:hAnsi="Calibri"/>
          <w:b w:val="0"/>
          <w:color w:val="3A4A28"/>
          <w:sz w:val="20"/>
        </w:rPr>
        <w:t>Republic Services is the second-largest environmental services company in the United States and Canada, providing collection, transfer, disposal, recycling, and environmental solutions to residential, commercial, and industrial customers. The company operates landfills, recycling centers, transfer stations, and polymer processing facilities across North America. Named to Ethisphere's World's Most Ethical Companies list eight times and Fortune's Most Admired Companies five times. TTM revenue of $16.9B with adjusted EBITDA margin of 32%. Headquartered in Phoenix, Arizona.</w:t>
      </w:r>
    </w:p>
    <w:p>
      <w:r>
        <w:rPr>
          <w:rFonts w:ascii="Calibri" w:hAnsi="Calibri"/>
          <w:b/>
          <w:color w:val="6E8450"/>
          <w:sz w:val="18"/>
        </w:rPr>
        <w:t>42,000 Employees · https://www.republicservices.com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Full-year 2025 revenue grew 3.5% with adjusted EBITDA up nearly 7% and margin expanding 90 basis points to 32%, and Q1 2026 revenue of $4.11B continued the trend with earnings growth [1][2]. Adjusted EPS for 2025 was $7.02, up from $6.46, and 2026 guidance projects $7.20-$7.28. The company has evolved from pure waste hauling to an environmental solutions platform through strategic acquisitions (US Ecology for hazardous waste), though growth remains incremental. AI Deployment (1/2): Republic Services has established a GenAI Governance Council aligned with sustainability goals, deployed AI-driven recycling sorting at Polymer Centers, and uses MPower fleet route optimization for fuel cost reduction [2][3]. However, specific dollar amounts for AI-driven savings or revenue contributions have not been publicly quantified. Market Share (2/2): Republic is the #2 U.S. waste management company with ~$16.9B TTM revenue, strong local route density creating physical moats, and dominant regional positions across North America [1]. Product Pipeline (1/2): Polymer Center expansion for advanced plastics recycling, 2026 revenue guidance of $17.05-17.15B driven by 3.2-3.7% average yield, and continued acquisition pipeline [1]. R&amp;D Intensity (0/1): Waste management is inherently a low-R&amp;D industry; RSG invests in operational technology but does not report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Republic Services' mission to 'partner with customers to create a more sustainable world' is specific, thoughtful, and validated by execution — the company achieved its SBTi-approved emissions reduction target early, set 2030 goals for 35% Scope 1/2 reduction, and was named to Ethisphere's World's Most Ethical Companies eight times [3][4]. Community Impact (1/2): Strong sustainability credentials are partially offset by notable ESG controversies — the US Ecology acquisition brought environmental justice concerns in Detroit (80% people of color, 70% low-income near expanded hazardous waste facility), and the West Lake Landfill in Missouri adjacent to a radioactive Superfund site from the Manhattan Project has produced elevated cancer rates and lawsuits [4]. These controversies demonstrate the tension between the sustainability mission and operational realities. Employee Retention (0/2): CEO Jon Vander Ark emphasizes 'inclusive and human-centered workforce,' but Glassdoor reviews (~3.3/5) reveal mixed sentiment — some cite popularity-driven promotions and limited career stability [3]. No standout retention metrics for a 42,000-employee workforce.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financial metrics (Growth stock weighting). D/E of 118.8% scores 0.79 (moderate leverage typical for capital-intensive waste operations supported by $16.9B recurring revenue). ROE of 18.2% exceeds the 15% target (score 1.0, 2x weight), reflecting strong capital efficiency [1][4]. Revenue growth YoY of 4.6% scores 0.82 — steady pricing-driven organic growth [2]. Revenue growth 5yr CAGR of approximately 8.5% (from ~$10.2B in 2020 to ~$16.9B TTM) scores 0.90 at 2x weight, reflecting both organic pricing power and strategic acquisitions [1]. Forward P/E of 27.06 scores 0.82 — a premium justified by recession-resistant cash flows and beta of 0.4. Profit margin of 12.9% scores 0.65, adequate but constrained by the asset-heavy collection and disposal model. PEG of 2.81 scores 0.10 at 2x weight, reflecting premium valuation relative to single-digit organic growth. Weighted sum of 7.07 out of 10.0 maximum yields mechanical score of 7. Liquidity floor easily cleared: 1.5M avg volume x $218.07 = $327M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Republic Services operates with a long-term orientation appropriate for managing 20-30 year landfill assets, setting 2030 sustainability targets, and delivering 22 consecutive years of dividend increases. The SBTi-approved emissions commitment (achieved early), Polymer Center innovation, and GenAI Governance Council reflect infinite game characteristics. However, the comfortable duopoly with Waste Management, modest organic volume declines masked by pricing power, and ESG controversies (West Lake Landfill, US Ecology environmental justice) limit the moral authority of the sustainability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'Creating a more sustainable world through responsible environmental services' is a genuine, enduring purpose validated by SBTi-approved emissions targets (achieved early), 2030 sustainability goals, and Ethisphere recognition eight times [3][4]. However, the ESG controversies — West Lake Landfill adjacent to a radioactive Superfund site with elevated cancer rates and community lawsuits, and US Ecology's hazardous waste facility expansion near predominantly low-income, minority communities in Detroit — create tension between the stated cause and operational choices [4]. A Just Cause that does not consistently guide operational decisions is aspirational, not lived.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Jon Vander Ark's emphasis on 'inclusive and human-centered workforce' across 42,000 employees, combined with the SVP Sustainability Innovation role and GenAI Governance Council, demonstrates structural investment in people and responsible technology adoption [3]. The company's consistent execution and 22-year dividend growth streak suggest organizational stability. However, Glassdoor reviews (~3.3/5) reveal mixed sentiment about leadership advancement and career stability, indicating trust may vary significantly between frontline collection workers and corporate teams.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Waste Management (WM) is the clear worthy rival, and Republic Services uses this rivalry productively — matching WM's sustainability commitments, competing on service quality and route density, and investing in AI and recycling technology to narrow the scale gap [1]. The duopoly dynamic forces continuous improvement rather than destructive competition. The appointment of Ian Craig (Coca-Cola FEMSA) to the board brings fresh competitive perspective from a global sustainability leader.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Republic Services has evolved from a pure waste hauler to an environmental solutions company, adding hazardous waste (US Ecology acquisition), advanced plastics recycling (Polymer Centers), landfill gas-to-energy, and digital fleet transformation [1][3]. This represents genuine capability expansion. However, the core collection business remains dominant, the transformation is incremental rather than fundamental, and the company has not abandoned a profitable but misaligned business line or made a bet that redefined its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Achieving SBTi-approved emissions targets early, investing in Polymer Center technology for advanced plastics recycling, and establishing a GenAI Governance Council demonstrate willingness to invest ahead of regulatory requirements and technological shifts [3][4]. However, in a comfortable duopoly with pricing power exceeding cost inflation and beta of 0.4, these investments carry relatively low risk. The US Ecology acquisition brought real environmental justice liabilities that leadership has not proactively addressed, suggesting courage may be selective.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Republic Services is a high-quality defensive industrial with predictable cash flows, pricing power, and a physical moat from local route density in waste collection [1]. Full-year 2025 delivered adjusted EPS of $7.02 (up 8.7%), EBITDA margin expanding 90 basis points to 32%, and Q1 2026 revenue of $4.11B continues the trend [1][2]. 2026 guidance projects revenue of $17.05-17.15B and adjusted EPS of $7.20-$7.28. The 22 consecutive years of dividend increases (8.3% 5yr CAGR) with only a 35.4% payout ratio demonstrate sustainable and growing capital returns. ROE of 18.2% and beta of 0.4 provide both financial quality and portfolio stability, while AI deployment through the GenAI Governance Council, MPower fleet optimization, and Polymer Centers enhances margins without creating disruption risk [2][3]. Inspire score of 43 (ALIGNED) with 13 positive attributions and zero negative confirms faith-based suitability.</w:t>
      </w:r>
    </w:p>
    <w:p>
      <w:pPr>
        <w:spacing w:after="120"/>
      </w:pPr>
      <w:r>
        <w:rPr>
          <w:rFonts w:ascii="Calibri" w:hAnsi="Calibri"/>
          <w:b w:val="0"/>
          <w:color w:val="3A4A28"/>
          <w:sz w:val="20"/>
        </w:rPr>
        <w:t>The bear case centers on valuation and growth limitations. At 27.1x forward P/E and 2.81 PEG ratio, RSG is priced for perfection in a business growing revenue only 4.6% with ~1% volume declines — essentially inflation pass-through with minimal real volume growth [1][2]. The 1.23% dividend yield falls below the 2% threshold for IOWN Dividend classification despite the impressive 22-year growth streak. D/E of 118.8% reflects significant debt required to maintain fleet, landfills, and processing facilities, creating interest rate sensitivity. ESG controversies — West Lake Landfill's radioactive Superfund adjacency and US Ecology's environmental justice concerns in Detroit — pose reputational and legal risk that could strain the sustainability narrative [4]. Revenue guidance of $17.05-17.15B for 2026 implies minimal acceleration, and the premium valuation leaves limited margin of safety if economic conditions weaken and waste volumes decline further.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EBITDA margin expansion toward 33%+ driven by 3.2-3.7% pricing yield exceeding cost inflation, AI-powered route optimization, and operating leverage on the existing asset base [1][2]</w:t>
      </w:r>
    </w:p>
    <w:p>
      <w:pPr>
        <w:spacing w:before="40" w:after="40"/>
        <w:ind w:left="283"/>
      </w:pPr>
      <w:r>
        <w:rPr>
          <w:rFonts w:ascii="Calibri" w:hAnsi="Calibri"/>
          <w:b/>
          <w:color w:val="4A6B25"/>
          <w:sz w:val="20"/>
        </w:rPr>
        <w:t xml:space="preserve">2. </w:t>
      </w:r>
      <w:r>
        <w:rPr>
          <w:rFonts w:ascii="Calibri" w:hAnsi="Calibri"/>
          <w:b w:val="0"/>
          <w:color w:val="3A4A28"/>
          <w:sz w:val="20"/>
        </w:rPr>
        <w:t>Polymer Center expansion for advanced plastics recycling positions RSG for circular economy regulatory tailwinds and new revenue streams as recycled content mandates increase nationally [3]</w:t>
      </w:r>
    </w:p>
    <w:p>
      <w:pPr>
        <w:spacing w:before="40" w:after="40"/>
        <w:ind w:left="283"/>
      </w:pPr>
      <w:r>
        <w:rPr>
          <w:rFonts w:ascii="Calibri" w:hAnsi="Calibri"/>
          <w:b/>
          <w:color w:val="4A6B25"/>
          <w:sz w:val="20"/>
        </w:rPr>
        <w:t xml:space="preserve">3. </w:t>
      </w:r>
      <w:r>
        <w:rPr>
          <w:rFonts w:ascii="Calibri" w:hAnsi="Calibri"/>
          <w:b w:val="0"/>
          <w:color w:val="3A4A28"/>
          <w:sz w:val="20"/>
        </w:rPr>
        <w:t>2026 adjusted EPS guidance of $7.20-$7.28 implies continued earnings growth, with potential for beat-and-raise cadence if Q1 momentum sustains and acquisitions accelerate inorganic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(27.1x forward P/E, 2.81 PEG) with only 4.6% revenue growth and ~1% volume decline leaves limited margin of safety — any guidance miss or economic slowdown reducing waste volumes could trigger significant multiple compression [1][2]</w:t>
      </w:r>
    </w:p>
    <w:p>
      <w:pPr>
        <w:spacing w:before="40" w:after="40"/>
        <w:ind w:left="283"/>
      </w:pPr>
      <w:r>
        <w:rPr>
          <w:rFonts w:ascii="Calibri" w:hAnsi="Calibri"/>
          <w:b/>
          <w:color w:val="4A6B25"/>
          <w:sz w:val="20"/>
        </w:rPr>
        <w:t xml:space="preserve">2. </w:t>
      </w:r>
      <w:r>
        <w:rPr>
          <w:rFonts w:ascii="Calibri" w:hAnsi="Calibri"/>
          <w:b w:val="0"/>
          <w:color w:val="3A4A28"/>
          <w:sz w:val="20"/>
        </w:rPr>
        <w:t>ESG controversies — West Lake Landfill radioactive Superfund adjacency with cancer lawsuits and US Ecology environmental justice concerns in Detroit — could generate regulatory costs, legal liability, and reputational damage that strains the sustainability narrative [4]</w:t>
      </w:r>
    </w:p>
    <w:p>
      <w:pPr>
        <w:spacing w:before="40" w:after="40"/>
        <w:ind w:left="283"/>
      </w:pPr>
      <w:r>
        <w:rPr>
          <w:rFonts w:ascii="Calibri" w:hAnsi="Calibri"/>
          <w:b/>
          <w:color w:val="4A6B25"/>
          <w:sz w:val="20"/>
        </w:rPr>
        <w:t xml:space="preserve">3. </w:t>
      </w:r>
      <w:r>
        <w:rPr>
          <w:rFonts w:ascii="Calibri" w:hAnsi="Calibri"/>
          <w:b w:val="0"/>
          <w:color w:val="3A4A28"/>
          <w:sz w:val="20"/>
        </w:rPr>
        <w:t>Capital-intensive operations with D/E of 118.8% and organic growth limited to yield/pricing suggests the business is not growing in real terms beyond inflation pass-through, which the premium valuation does not adequately reflect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Waste collection and environmental services are inherently physical, labor-intensive operations that AI cannot disintermediate — trucks must collect trash, landfills must be operated with environmental permits, and recycling facilities require physical processing [1]. Republic's local route density creates a physical moat no digital competitor can replicate. Regulatory barriers (franchise agreements with municipalities, landfill permits, environmental compliance) add layers of protection that take decades to build. However, AI could partially automate recycling sorting (reducing human sorters), optimize routes to require fewer trucks, and enable competitors to operate more efficiently, preventing a maximum score. AI Opportunity (1/1): GenAI Governance Council established with formal framework for responsible deployment; AI-driven recycling sorting at Polymer Centers improves material recovery; MPower fleet route optimization reduces fuel costs and improves collection efficiency; predictive maintenance for fleet and landfill operations represents quantifiable margin expansion opportunity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Republic Services Q4 2025 and Full-Year 2025 Earnings Release — 3.5% revenue growth, adjusted EPS $7.02, EBITDA margin 32%, 2026 guidance $17.05-17.15B revenue, February 2026</w:t>
      </w:r>
    </w:p>
    <w:p>
      <w:pPr>
        <w:spacing w:before="20" w:after="20"/>
        <w:ind w:left="170"/>
      </w:pPr>
      <w:r>
        <w:rPr>
          <w:rFonts w:ascii="Calibri" w:hAnsi="Calibri"/>
          <w:b/>
          <w:color w:val="4A6B25"/>
          <w:sz w:val="15"/>
        </w:rPr>
        <w:t xml:space="preserve">2. </w:t>
      </w:r>
      <w:r>
        <w:rPr>
          <w:rFonts w:ascii="Calibri" w:hAnsi="Calibri"/>
          <w:b w:val="0"/>
          <w:color w:val="3A4A28"/>
          <w:sz w:val="17"/>
        </w:rPr>
        <w:t>Republic Services Q1 2026 Results — $4.11B revenue, earnings growth, pricing yield of 3.2-3.7%, volume decline ~1%, Recycling Today/Waste Dive, April 2026</w:t>
      </w:r>
    </w:p>
    <w:p>
      <w:pPr>
        <w:spacing w:before="20" w:after="20"/>
        <w:ind w:left="170"/>
      </w:pPr>
      <w:r>
        <w:rPr>
          <w:rFonts w:ascii="Calibri" w:hAnsi="Calibri"/>
          <w:b/>
          <w:color w:val="4A6B25"/>
          <w:sz w:val="15"/>
        </w:rPr>
        <w:t xml:space="preserve">3. </w:t>
      </w:r>
      <w:r>
        <w:rPr>
          <w:rFonts w:ascii="Calibri" w:hAnsi="Calibri"/>
          <w:b w:val="0"/>
          <w:color w:val="3A4A28"/>
          <w:sz w:val="17"/>
        </w:rPr>
        <w:t>Republic Services AI Strategy and Leadership — GenAI Governance Council, MPower fleet optimization, Polymer Centers, CEO Vander Ark, SVP Sustainability Innovation, Klover.ai, 2026</w:t>
      </w:r>
    </w:p>
    <w:p>
      <w:pPr>
        <w:spacing w:before="20" w:after="20"/>
        <w:ind w:left="170"/>
      </w:pPr>
      <w:r>
        <w:rPr>
          <w:rFonts w:ascii="Calibri" w:hAnsi="Calibri"/>
          <w:b/>
          <w:color w:val="4A6B25"/>
          <w:sz w:val="15"/>
        </w:rPr>
        <w:t xml:space="preserve">4. </w:t>
      </w:r>
      <w:r>
        <w:rPr>
          <w:rFonts w:ascii="Calibri" w:hAnsi="Calibri"/>
          <w:b w:val="0"/>
          <w:color w:val="3A4A28"/>
          <w:sz w:val="17"/>
        </w:rPr>
        <w:t>Republic Services ESG Controversies — West Lake Landfill Superfund adjacency, US Ecology environmental justice concerns in Detroit, Sustainalytics ESG Risk Score 21, Waste Dive/Yahoo Finance,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