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371600" cy="723227"/>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1371600" cy="723227"/>
                    </a:xfrm>
                    <a:prstGeom prst="rect"/>
                  </pic:spPr>
                </pic:pic>
              </a:graphicData>
            </a:graphic>
          </wp:inline>
        </w:drawing>
      </w:r>
    </w:p>
    <w:p>
      <w:pPr>
        <w:spacing w:before="120" w:after="40"/>
      </w:pPr>
      <w:r>
        <w:rPr>
          <w:rFonts w:ascii="Calibri" w:hAnsi="Calibri"/>
          <w:b/>
          <w:color w:val="4A6B25"/>
          <w:sz w:val="56"/>
        </w:rPr>
        <w:t>RTSN</w:t>
      </w:r>
      <w:r>
        <w:rPr>
          <w:rFonts w:ascii="Calibri" w:hAnsi="Calibri"/>
          <w:b/>
          <w:color w:val="1A2010"/>
          <w:sz w:val="40"/>
        </w:rPr>
        <w:t xml:space="preserve">  Retension Pharmaceuticals, Inc.</w:t>
      </w:r>
    </w:p>
    <w:p>
      <w:pPr>
        <w:spacing w:after="120"/>
      </w:pPr>
      <w:r>
        <w:rPr>
          <w:rFonts w:ascii="Calibri" w:hAnsi="Calibri"/>
          <w:b/>
          <w:color w:val="6E8450"/>
          <w:sz w:val="18"/>
        </w:rPr>
        <w:t>GROWTH SLEEVE · 2026-10-18 · Inspire: 0 · FINITE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1200" w:type="dxa"/>
      </w:tblPr>
      <w:tblGrid>
        <w:gridCol w:w="10800"/>
      </w:tblGrid>
      <w:tr>
        <w:tc>
          <w:tcPr>
            <w:tcW w:type="dxa" w:w="10800"/>
            <w:shd w:fill="FFEBEE" w:val="clear"/>
          </w:tcPr>
          <w:p>
            <w:pPr>
              <w:spacing w:before="40" w:after="40"/>
              <w:jc w:val="center"/>
            </w:pPr>
            <w:r>
              <w:rPr>
                <w:rFonts w:ascii="Calibri" w:hAnsi="Calibri"/>
                <w:b/>
                <w:color w:val="DC2626"/>
                <w:sz w:val="20"/>
              </w:rPr>
              <w:t>SELL</w:t>
            </w:r>
          </w:p>
        </w:tc>
      </w:tr>
    </w:tbl>
    <w:p>
      <w:pPr>
        <w:spacing w:before="120" w:after="200"/>
      </w:pPr>
      <w:r>
        <w:rPr>
          <w:rFonts w:ascii="Calibri" w:hAnsi="Calibri"/>
          <w:b/>
          <w:color w:val="1A2010"/>
          <w:sz w:val="80"/>
        </w:rPr>
        <w:t>25</w:t>
      </w:r>
      <w:r>
        <w:rPr>
          <w:rFonts w:ascii="Calibri" w:hAnsi="Calibri"/>
          <w:b w:val="0"/>
          <w:color w:val="9DAF88"/>
          <w:sz w:val="28"/>
        </w:rPr>
        <w:t xml:space="preserve"> / </w:t>
      </w:r>
      <w:r>
        <w:rPr>
          <w:rFonts w:ascii="Calibri" w:hAnsi="Calibri"/>
          <w:b w:val="0"/>
          <w:color w:val="9DAF88"/>
          <w:sz w:val="24"/>
        </w:rPr>
        <w:t>100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COMPANY PROFILE</w:t>
            </w:r>
          </w:p>
        </w:tc>
      </w:tr>
    </w:tbl>
    <w:p>
      <w:r>
        <w:rPr>
          <w:rFonts w:ascii="Calibri" w:hAnsi="Calibri"/>
          <w:b/>
          <w:color w:val="6E8450"/>
          <w:sz w:val="18"/>
        </w:rPr>
        <w:t>Healthcare · Biotechnology · NMS · United States</w:t>
      </w:r>
    </w:p>
    <w:p>
      <w:pPr>
        <w:spacing w:after="80"/>
      </w:pPr>
      <w:r>
        <w:rPr>
          <w:rFonts w:ascii="Calibri" w:hAnsi="Calibri"/>
          <w:b w:val="0"/>
          <w:color w:val="3A4A28"/>
          <w:sz w:val="20"/>
        </w:rPr>
        <w:t>Retension Pharmaceuticals is a clinical-stage biopharmaceutical company developing RTN-001, an oral, once-daily phosphodiesterase-5 (PDE-5) inhibitor designed to reduce blood pressure by potentiating nitric oxide signaling. The company targets uncontrolled and resistant hypertension, a condition affecting approximately 20% of the 120 million U.S. hypertension patients. Founded in 2023 and headquartered in Falls Church, Virginia, Retension IPO'd on October 9, 2026 at $12 per share, raising $45M. The company is pre-revenue with a net loss of approximately $12M for the twelve months ended June 30, 2026, and had $13.5M in cash pre-IPO.</w:t>
      </w:r>
    </w:p>
    <w:p>
      <w:r>
        <w:rPr>
          <w:rFonts w:ascii="Calibri" w:hAnsi="Calibri"/>
          <w:b/>
          <w:color w:val="6E8450"/>
          <w:sz w:val="18"/>
        </w:rPr>
        <w:t>12 Employees · https://www.retensionpharma.com</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EXCELLENCE EVALUATION — THINK LIKE AN OWNER (50%)</w:t>
            </w:r>
          </w:p>
        </w:tc>
      </w:tr>
    </w:tbl>
    <w:p>
      <w:pPr>
        <w:spacing w:before="200" w:after="40"/>
      </w:pPr>
      <w:r>
        <w:rPr>
          <w:rFonts w:ascii="Calibri" w:hAnsi="Calibri"/>
          <w:b/>
          <w:color w:val="1A2010"/>
          <w:sz w:val="22"/>
        </w:rPr>
        <w:t>Innovation</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1</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551"/>
            <w:shd w:fill="DC2626" w:val="clear"/>
          </w:tcPr>
          <w:p>
            <w:pPr>
              <w:spacing w:before="0" w:after="0"/>
            </w:pPr>
            <w:r>
              <w:rPr>
                <w:rFonts w:ascii="Calibri" w:hAnsi="Calibri"/>
                <w:b w:val="0"/>
                <w:color w:val="1A2010"/>
                <w:sz w:val="4"/>
              </w:rPr>
            </w:r>
          </w:p>
        </w:tc>
        <w:tc>
          <w:tcPr>
            <w:tcW w:type="dxa" w:w="4961"/>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Track Record (0/3): Retension was founded in 2023 and has no track record of successful product launches, market pivots, or business model transformations — the company has existed for approximately three years and has never commercialized a product [1]. AI Deployment (0/2): No evidence of AI-powered products or AI-driven cost savings; the company's 12-person team is focused entirely on traditional clinical development of RTN-001 [2]. Market Share (0/2): Pre-revenue with no approved products for sale; Retension holds zero market share in any category [1]. Product Pipeline (1/2): RTN-001 is in a Phase 2b trial initiated October 2025 with initial data expected H1 2027, providing a specific timeline and clinical milestone, though it is the company's sole asset with no additional candidates in the pipeline [1][3]. R&amp;D Intensity (0/1): R&amp;D spending was $6.2M in the six months ended June 2026 versus $1.2M in the prior-year period, but as a pre-revenue single-asset clinical-stage company, this spending level is table stakes for the biotech industry, not above-average relative to peers [1].</w:t>
      </w:r>
    </w:p>
    <w:p>
      <w:pPr>
        <w:spacing w:before="200" w:after="40"/>
      </w:pPr>
      <w:r>
        <w:rPr>
          <w:rFonts w:ascii="Calibri" w:hAnsi="Calibri"/>
          <w:b/>
          <w:color w:val="1A2010"/>
          <w:sz w:val="22"/>
        </w:rPr>
        <w:t>Inspiration</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2</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102"/>
            <w:shd w:fill="DC2626" w:val="clear"/>
          </w:tcPr>
          <w:p>
            <w:pPr>
              <w:spacing w:before="0" w:after="0"/>
            </w:pPr>
            <w:r>
              <w:rPr>
                <w:rFonts w:ascii="Calibri" w:hAnsi="Calibri"/>
                <w:b w:val="0"/>
                <w:color w:val="1A2010"/>
                <w:sz w:val="4"/>
              </w:rPr>
            </w:r>
          </w:p>
        </w:tc>
        <w:tc>
          <w:tcPr>
            <w:tcW w:type="dxa" w:w="4409"/>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Mission Floor (1/4): Retension's stated purpose centers on developing treatments for uncontrolled and resistant hypertension — a legitimate medical need affecting millions, but the company articulates no distinctive mission beyond the clinical objective of its single drug candidate, making it interchangeable with any other clinical-stage cardiovascular biotech [2][3]. Community Impact (0/2): No evidence of charitable programs, foundation activity, or community investment; the company has 12 employees and has been focused exclusively on clinical development and IPO preparation since founding [2]. Employee Retention (0/2): With only 12 employees and a three-year corporate history, no meaningful retention data exists; the company's S-1 notes high dependence on key personnel including CEO Eric Keller and CSO Paul Sweetnam [2]. Insider Buying (1/2): CEO Eric Keller purchased 20,800 shares at $12.00 per share on October 13, 2026, four days after the IPO, for a total of $249,600 — a meaningful personal investment demonstrating conviction in the company's prospects, though this is a single transaction shortly after listing [4].</w:t>
      </w:r>
    </w:p>
    <w:p>
      <w:pPr>
        <w:spacing w:before="200" w:after="40"/>
      </w:pPr>
      <w:r>
        <w:rPr>
          <w:rFonts w:ascii="Calibri" w:hAnsi="Calibri"/>
          <w:b/>
          <w:color w:val="1A2010"/>
          <w:sz w:val="22"/>
        </w:rPr>
        <w:t>Infrastructure</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0</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55"/>
            <w:shd w:fill="DC2626" w:val="clear"/>
          </w:tcPr>
          <w:p>
            <w:pPr>
              <w:spacing w:before="0" w:after="0"/>
            </w:pPr>
            <w:r>
              <w:rPr>
                <w:rFonts w:ascii="Calibri" w:hAnsi="Calibri"/>
                <w:b w:val="0"/>
                <w:color w:val="1A2010"/>
                <w:sz w:val="4"/>
              </w:rPr>
            </w:r>
          </w:p>
        </w:tc>
        <w:tc>
          <w:tcPr>
            <w:tcW w:type="dxa" w:w="5457"/>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Mechanically scored as a Growth stock with severely limited data availability. Of the seven Growth-stock metrics, only profit margin is available: at 0.0% it sits at the floor versus the 20% target (score 0.0) [1]. D/E, ROE, revenue growth YoY, revenue growth 5yr CAGR, Forward P/E, and Forward PEG are all unavailable because the company is pre-revenue with no earnings history, generating a weighted sum of 0.0 on 1 available weight unit out of 10 possible. The resulting infrastructure score rounds to 0/10. Daily dollar volume of $3.56M ($14.07 × 252,967 avg volume) clears the $1M liquidity floor [1]. Cash position post-IPO is approximately $58M ($13.5M pre-IPO plus $45M gross proceeds), but with R&amp;D burn of ~$12M annually and accelerating, the runway extends roughly 3-4 years before additional dilutive financing is required.</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FINITE VS INFINITE GAME — SINEK (25%)</w:t>
            </w:r>
          </w:p>
        </w:tc>
      </w:tr>
    </w:tbl>
    <w:p>
      <w:pPr>
        <w:spacing w:after="40"/>
      </w:pPr>
      <w:r>
        <w:rPr>
          <w:rFonts w:ascii="Calibri" w:hAnsi="Calibri"/>
          <w:b w:val="0"/>
          <w:color w:val="6E8450"/>
          <w:sz w:val="22"/>
        </w:rPr>
        <w:t xml:space="preserve">Mindset: </w:t>
      </w:r>
      <w:r>
        <w:rPr>
          <w:rFonts w:ascii="Calibri" w:hAnsi="Calibri"/>
          <w:b/>
          <w:color w:val="DC2626"/>
          <w:sz w:val="22"/>
        </w:rPr>
        <w:t>FINITE</w:t>
      </w:r>
      <w:r>
        <w:rPr>
          <w:rFonts w:ascii="Calibri" w:hAnsi="Calibri"/>
          <w:b w:val="0"/>
          <w:color w:val="6E8450"/>
          <w:sz w:val="22"/>
        </w:rPr>
        <w:t xml:space="preserve">      Overall: </w:t>
      </w:r>
      <w:r>
        <w:rPr>
          <w:rFonts w:ascii="Calibri" w:hAnsi="Calibri"/>
          <w:b/>
          <w:color w:val="DC2626"/>
          <w:sz w:val="28"/>
        </w:rPr>
        <w:t>1</w:t>
      </w:r>
      <w:r>
        <w:rPr>
          <w:rFonts w:ascii="Calibri" w:hAnsi="Calibri"/>
          <w:b w:val="0"/>
          <w:color w:val="9DAF88"/>
          <w:sz w:val="18"/>
        </w:rPr>
        <w:t xml:space="preserve"> /10</w:t>
      </w:r>
    </w:p>
    <w:p>
      <w:pPr>
        <w:spacing w:after="120"/>
      </w:pPr>
      <w:r>
        <w:rPr>
          <w:rFonts w:ascii="Calibri" w:hAnsi="Calibri"/>
          <w:b w:val="0"/>
          <w:color w:val="3A4A28"/>
          <w:sz w:val="18"/>
        </w:rPr>
        <w:t>Retension Pharmaceuticals is a three-year-old, 12-person clinical-stage company with a single drug candidate and no operating history to evaluate through Sinek's infinite game framework. The company exists to develop and commercialize RTN-001 — a finite, binary objective that will succeed or fail based on Phase 2b trial results expected H1 2027. There is no evidence of a Just Cause beyond the clinical program, no track record of courageous leadership decisions, no organizational culture to assess, no strategic flexibility demonstrated, and no competitive philosophy articulated. This is fundamentally a finite game player executing a single clinical bet.</w:t>
      </w:r>
    </w:p>
    <w:p>
      <w:pPr>
        <w:spacing w:before="200" w:after="40"/>
      </w:pPr>
      <w:r>
        <w:rPr>
          <w:rFonts w:ascii="Calibri" w:hAnsi="Calibri"/>
          <w:b/>
          <w:color w:val="1A2010"/>
          <w:sz w:val="22"/>
        </w:rPr>
        <w:t>Just Cause</w:t>
      </w:r>
    </w:p>
    <w:p>
      <w:pPr>
        <w:spacing w:before="0" w:after="40"/>
      </w:pPr>
      <w:r>
        <w:rPr>
          <w:rFonts w:ascii="Calibri" w:hAnsi="Calibri"/>
          <w:b/>
          <w:color w:val="B8860B"/>
          <w:sz w:val="28"/>
        </w:rPr>
        <w:t>4</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205"/>
            <w:shd w:fill="B8860B" w:val="clear"/>
          </w:tcPr>
          <w:p>
            <w:pPr>
              <w:spacing w:before="0" w:after="0"/>
            </w:pPr>
            <w:r>
              <w:rPr>
                <w:rFonts w:ascii="Calibri" w:hAnsi="Calibri"/>
                <w:b w:val="0"/>
                <w:color w:val="1A2010"/>
                <w:sz w:val="4"/>
              </w:rPr>
            </w:r>
          </w:p>
        </w:tc>
        <w:tc>
          <w:tcPr>
            <w:tcW w:type="dxa" w:w="3307"/>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Just Cause (1/3): Treating uncontrolled and resistant hypertension — a condition affecting ~24 million Americans with inadequate existing options — provides a legitimate medical purpose, but Retension has not articulated this as a transformative vision or Just Cause that extends beyond the single drug candidate [3]. The company's purpose is indistinguishable from any other clinical-stage cardiovascular biotech: develop RTN-001, get FDA approval, commercialize. There is no evidence of a broader vision for cardiovascular care or patient advocacy that would survive if RTN-001 fails.</w:t>
      </w:r>
    </w:p>
    <w:p>
      <w:pPr>
        <w:spacing w:before="200" w:after="40"/>
      </w:pPr>
      <w:r>
        <w:rPr>
          <w:rFonts w:ascii="Calibri" w:hAnsi="Calibri"/>
          <w:b/>
          <w:color w:val="1A2010"/>
          <w:sz w:val="22"/>
        </w:rPr>
        <w:t>Trusting Teams</w:t>
      </w:r>
    </w:p>
    <w:p>
      <w:pPr>
        <w:spacing w:before="0" w:after="40"/>
      </w:pPr>
      <w:r>
        <w:rPr>
          <w:rFonts w:ascii="Calibri" w:hAnsi="Calibri"/>
          <w:b/>
          <w:color w:val="DC2626"/>
          <w:sz w:val="28"/>
        </w:rPr>
        <w:t>2</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102"/>
            <w:shd w:fill="DC2626" w:val="clear"/>
          </w:tcPr>
          <w:p>
            <w:pPr>
              <w:spacing w:before="0" w:after="0"/>
            </w:pPr>
            <w:r>
              <w:rPr>
                <w:rFonts w:ascii="Calibri" w:hAnsi="Calibri"/>
                <w:b w:val="0"/>
                <w:color w:val="1A2010"/>
                <w:sz w:val="4"/>
              </w:rPr>
            </w:r>
          </w:p>
        </w:tc>
        <w:tc>
          <w:tcPr>
            <w:tcW w:type="dxa" w:w="4409"/>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Trusting Teams (0/2): With 12 employees and a three-year history, there is insufficient organizational data to evaluate team trust or psychological safety [2]. The S-1 filing highlights key-person risk and notes that CEO Keller and CSO Sweetnam have management roles at Redux, a related entity, creating potential conflicts of interest rather than signals of organizational trust [3]. No Glassdoor reviews, employee testimonials, or turnover data exist for a company this small and new.</w:t>
      </w:r>
    </w:p>
    <w:p>
      <w:pPr>
        <w:spacing w:before="200" w:after="40"/>
      </w:pPr>
      <w:r>
        <w:rPr>
          <w:rFonts w:ascii="Calibri" w:hAnsi="Calibri"/>
          <w:b/>
          <w:color w:val="1A2010"/>
          <w:sz w:val="22"/>
        </w:rPr>
        <w:t>Worthy Rivals</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Worthy Rivals (0/1): No public commentary from Retension management acknowledging competitors' strengths or articulating a learning-oriented competitive philosophy. The company's filings describe the competitive landscape for hypertension treatment factually but do not reflect Sinek's worthy-rival mindset [3]. The company is too early-stage to have developed a discernible competitive philosophy.</w:t>
      </w:r>
    </w:p>
    <w:p>
      <w:pPr>
        <w:spacing w:before="200" w:after="40"/>
      </w:pPr>
      <w:r>
        <w:rPr>
          <w:rFonts w:ascii="Calibri" w:hAnsi="Calibri"/>
          <w:b/>
          <w:color w:val="1A2010"/>
          <w:sz w:val="22"/>
        </w:rPr>
        <w:t>Existential Flexibility</w:t>
      </w:r>
    </w:p>
    <w:p>
      <w:pPr>
        <w:spacing w:before="0" w:after="40"/>
      </w:pPr>
      <w:r>
        <w:rPr>
          <w:rFonts w:ascii="Calibri" w:hAnsi="Calibri"/>
          <w:b/>
          <w:color w:val="DC2626"/>
          <w:sz w:val="28"/>
        </w:rPr>
        <w:t>2</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102"/>
            <w:shd w:fill="DC2626" w:val="clear"/>
          </w:tcPr>
          <w:p>
            <w:pPr>
              <w:spacing w:before="0" w:after="0"/>
            </w:pPr>
            <w:r>
              <w:rPr>
                <w:rFonts w:ascii="Calibri" w:hAnsi="Calibri"/>
                <w:b w:val="0"/>
                <w:color w:val="1A2010"/>
                <w:sz w:val="4"/>
              </w:rPr>
            </w:r>
          </w:p>
        </w:tc>
        <w:tc>
          <w:tcPr>
            <w:tcW w:type="dxa" w:w="4409"/>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Existential Flexibility (0/2): Retension is a single-asset company entirely dependent on RTN-001's clinical success. There is no evidence of strategic flexibility, business model adaptation, or willingness to pivot — the company has not faced a situation requiring existential flexibility, and its entire corporate structure is built around one drug candidate [1][3]. If RTN-001 fails Phase 2b, the company has no disclosed backup plan or alternative pipeline.</w:t>
      </w:r>
    </w:p>
    <w:p>
      <w:pPr>
        <w:spacing w:before="200" w:after="40"/>
      </w:pPr>
      <w:r>
        <w:rPr>
          <w:rFonts w:ascii="Calibri" w:hAnsi="Calibri"/>
          <w:b/>
          <w:color w:val="1A2010"/>
          <w:sz w:val="22"/>
        </w:rPr>
        <w:t>Courage To Lead</w:t>
      </w:r>
    </w:p>
    <w:p>
      <w:pPr>
        <w:spacing w:before="0" w:after="40"/>
      </w:pPr>
      <w:r>
        <w:rPr>
          <w:rFonts w:ascii="Calibri" w:hAnsi="Calibri"/>
          <w:b/>
          <w:color w:val="DC2626"/>
          <w:sz w:val="28"/>
        </w:rPr>
        <w:t>2</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102"/>
            <w:shd w:fill="DC2626" w:val="clear"/>
          </w:tcPr>
          <w:p>
            <w:pPr>
              <w:spacing w:before="0" w:after="0"/>
            </w:pPr>
            <w:r>
              <w:rPr>
                <w:rFonts w:ascii="Calibri" w:hAnsi="Calibri"/>
                <w:b w:val="0"/>
                <w:color w:val="1A2010"/>
                <w:sz w:val="4"/>
              </w:rPr>
            </w:r>
          </w:p>
        </w:tc>
        <w:tc>
          <w:tcPr>
            <w:tcW w:type="dxa" w:w="4409"/>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Courage to Lead (0/2): Retension has no track record of courageous leadership decisions. The company executed a standard clinical-stage biotech IPO playbook — file S-1, price offering, raise capital for Phase 2b — without any evidence of leadership sacrificing near-term results for long-term capability or making unconventional strategic choices [1][3]. CEO Keller's post-IPO share purchase shows personal conviction but does not constitute a courageous corporate decision in Sinek's framework.</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INVESTMENT THESIS</w:t>
            </w:r>
          </w:p>
        </w:tc>
      </w:tr>
    </w:tbl>
    <w:p>
      <w:pPr>
        <w:spacing w:after="120"/>
      </w:pPr>
      <w:r>
        <w:rPr>
          <w:rFonts w:ascii="Calibri" w:hAnsi="Calibri"/>
          <w:b w:val="0"/>
          <w:color w:val="3A4A28"/>
          <w:sz w:val="20"/>
        </w:rPr>
        <w:t>Retension Pharmaceuticals at $14.07 is a clinical-stage bet on RTN-001, a once-daily oral PDE-5 inhibitor targeting uncontrolled and resistant hypertension affecting approximately 24 million Americans with inadequate current treatment options [3]. The company raised $45M in its October 2026 IPO (upsized from original $36M target), providing approximately 3-4 years of runway at current burn rates, and CEO Eric Keller's immediate post-IPO purchase of $249,600 in shares signals insider conviction [1][4]. The Phase 2b trial initiated October 2025 with data expected H1 2027 represents a near-term catalyst, and the hypertension market's massive addressable population ($20B+ globally) provides significant upside if efficacy and safety data are favorable.</w:t>
      </w:r>
    </w:p>
    <w:p>
      <w:pPr>
        <w:spacing w:after="120"/>
      </w:pPr>
      <w:r>
        <w:rPr>
          <w:rFonts w:ascii="Calibri" w:hAnsi="Calibri"/>
          <w:b w:val="0"/>
          <w:color w:val="3A4A28"/>
          <w:sz w:val="20"/>
        </w:rPr>
        <w:t>The bear case is binary clinical risk in a single-asset, pre-revenue company with no financial moat. Retension has zero revenue, zero approved products, and its entire $117M market cap rests on one Phase 2b trial outcome that will not read out until H1 2027 [1]. The company's accounting restatement for advance CRO payments in its S-1 filing raises governance questions for a company with only 12 employees [3]. Competition in hypertension is fierce — established players like Novartis, AstraZeneca, and Bayer have extensive cardiovascular portfolios and resources that dwarf Retension's $58M post-IPO cash position. The PDE-5 mechanism is well-explored territory (sildenafil, tadalafil), and RTN-001 must demonstrate differentiation in a crowded mechanistic space. With no forward earnings estimates, zero analyst coverage, and a stock that has traded for only nine days, there is no margin of safety and the risk of total capital loss is material if Phase 2b data disappoint.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KEY CATALYSTS</w:t>
            </w:r>
          </w:p>
        </w:tc>
      </w:tr>
    </w:tbl>
    <w:p>
      <w:pPr>
        <w:spacing w:before="40" w:after="40"/>
        <w:ind w:left="283"/>
      </w:pPr>
      <w:r>
        <w:rPr>
          <w:rFonts w:ascii="Calibri" w:hAnsi="Calibri"/>
          <w:b/>
          <w:color w:val="4A6B25"/>
          <w:sz w:val="20"/>
        </w:rPr>
        <w:t xml:space="preserve">1. </w:t>
      </w:r>
      <w:r>
        <w:rPr>
          <w:rFonts w:ascii="Calibri" w:hAnsi="Calibri"/>
          <w:b w:val="0"/>
          <w:color w:val="3A4A28"/>
          <w:sz w:val="20"/>
        </w:rPr>
        <w:t>Phase 2b trial data readout expected H1 2027 — positive efficacy and safety results for RTN-001 in resistant hypertension would validate the mechanism and could trigger partnership interest or significant share price appreciation from the current $117M market cap [1][3]</w:t>
      </w:r>
    </w:p>
    <w:p>
      <w:pPr>
        <w:spacing w:before="40" w:after="40"/>
        <w:ind w:left="283"/>
      </w:pPr>
      <w:r>
        <w:rPr>
          <w:rFonts w:ascii="Calibri" w:hAnsi="Calibri"/>
          <w:b/>
          <w:color w:val="4A6B25"/>
          <w:sz w:val="20"/>
        </w:rPr>
        <w:t xml:space="preserve">2. </w:t>
      </w:r>
      <w:r>
        <w:rPr>
          <w:rFonts w:ascii="Calibri" w:hAnsi="Calibri"/>
          <w:b w:val="0"/>
          <w:color w:val="3A4A28"/>
          <w:sz w:val="20"/>
        </w:rPr>
        <w:t>Potential FDA Breakthrough Therapy or Fast Track designation for resistant hypertension indication, where unmet medical need is substantial and regulatory pathways exist for accelerated development timelines [3]</w:t>
      </w:r>
    </w:p>
    <w:p>
      <w:pPr>
        <w:spacing w:before="40" w:after="40"/>
        <w:ind w:left="283"/>
      </w:pPr>
      <w:r>
        <w:rPr>
          <w:rFonts w:ascii="Calibri" w:hAnsi="Calibri"/>
          <w:b/>
          <w:color w:val="4A6B25"/>
          <w:sz w:val="20"/>
        </w:rPr>
        <w:t xml:space="preserve">3. </w:t>
      </w:r>
      <w:r>
        <w:rPr>
          <w:rFonts w:ascii="Calibri" w:hAnsi="Calibri"/>
          <w:b w:val="0"/>
          <w:color w:val="3A4A28"/>
          <w:sz w:val="20"/>
        </w:rPr>
        <w:t>Post-IPO cash position of approximately $58M provides 3-4 years of runway, eliminating near-term dilution risk and allowing management to focus on clinical execution through the Phase 2b readout [1]</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DC2626"/>
            </w:tcBorders>
          </w:tcPr>
          <w:p>
            <w:pPr>
              <w:spacing w:before="240" w:after="80"/>
            </w:pPr>
            <w:r>
              <w:rPr>
                <w:rFonts w:ascii="Calibri" w:hAnsi="Calibri"/>
                <w:b/>
                <w:color w:val="6E8450"/>
                <w:sz w:val="17"/>
              </w:rPr>
              <w:t>KEY RISKS</w:t>
            </w:r>
          </w:p>
        </w:tc>
      </w:tr>
    </w:tbl>
    <w:p>
      <w:pPr>
        <w:spacing w:before="40" w:after="40"/>
        <w:ind w:left="283"/>
      </w:pPr>
      <w:r>
        <w:rPr>
          <w:rFonts w:ascii="Calibri" w:hAnsi="Calibri"/>
          <w:b/>
          <w:color w:val="4A6B25"/>
          <w:sz w:val="20"/>
        </w:rPr>
        <w:t xml:space="preserve">1. </w:t>
      </w:r>
      <w:r>
        <w:rPr>
          <w:rFonts w:ascii="Calibri" w:hAnsi="Calibri"/>
          <w:b w:val="0"/>
          <w:color w:val="3A4A28"/>
          <w:sz w:val="20"/>
        </w:rPr>
        <w:t>Binary clinical risk — RTN-001 is the sole pipeline asset and a Phase 2b failure would likely result in catastrophic value destruction with no backup candidates or revenue streams to support the company [1][3]</w:t>
      </w:r>
    </w:p>
    <w:p>
      <w:pPr>
        <w:spacing w:before="40" w:after="40"/>
        <w:ind w:left="283"/>
      </w:pPr>
      <w:r>
        <w:rPr>
          <w:rFonts w:ascii="Calibri" w:hAnsi="Calibri"/>
          <w:b/>
          <w:color w:val="4A6B25"/>
          <w:sz w:val="20"/>
        </w:rPr>
        <w:t xml:space="preserve">2. </w:t>
      </w:r>
      <w:r>
        <w:rPr>
          <w:rFonts w:ascii="Calibri" w:hAnsi="Calibri"/>
          <w:b w:val="0"/>
          <w:color w:val="3A4A28"/>
          <w:sz w:val="20"/>
        </w:rPr>
        <w:t>Pre-revenue company with zero analyst coverage and only nine trading days of price history as of screen date, creating extreme valuation uncertainty and potential for illiquid, volatile price action as the float discovers its equilibrium [1]</w:t>
      </w:r>
    </w:p>
    <w:p>
      <w:pPr>
        <w:spacing w:before="40" w:after="40"/>
        <w:ind w:left="283"/>
      </w:pPr>
      <w:r>
        <w:rPr>
          <w:rFonts w:ascii="Calibri" w:hAnsi="Calibri"/>
          <w:b/>
          <w:color w:val="4A6B25"/>
          <w:sz w:val="20"/>
        </w:rPr>
        <w:t xml:space="preserve">3. </w:t>
      </w:r>
      <w:r>
        <w:rPr>
          <w:rFonts w:ascii="Calibri" w:hAnsi="Calibri"/>
          <w:b w:val="0"/>
          <w:color w:val="3A4A28"/>
          <w:sz w:val="20"/>
        </w:rPr>
        <w:t>Governance and conflict-of-interest concerns — CEO Keller and CSO Sweetnam hold management roles at Redux, a related entity, and the company disclosed an accounting restatement for advance CRO payments in its S-1, raising execution and oversight questions for a 12-person organization [2][3]</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AI RESILIENCE (25%)</w:t>
            </w:r>
          </w:p>
        </w:tc>
      </w:tr>
    </w:tbl>
    <w:p>
      <w:pPr>
        <w:spacing w:before="200" w:after="40"/>
      </w:pPr>
      <w:r>
        <w:rPr>
          <w:rFonts w:ascii="Calibri" w:hAnsi="Calibri"/>
          <w:b/>
          <w:color w:val="1A2010"/>
          <w:sz w:val="22"/>
        </w:rPr>
        <w:t>AI Resilience</w:t>
      </w:r>
      <w:r>
        <w:rPr>
          <w:rFonts w:ascii="Calibri" w:hAnsi="Calibri"/>
          <w:b w:val="0"/>
          <w:color w:val="1A2010"/>
          <w:sz w:val="22"/>
        </w:rPr>
        <w:t xml:space="preserve">  </w:t>
      </w:r>
      <w:r>
        <w:rPr>
          <w:rFonts w:ascii="Calibri" w:hAnsi="Calibri"/>
          <w:b/>
          <w:color w:val="B8860B"/>
          <w:sz w:val="16"/>
        </w:rPr>
        <w:t xml:space="preserve"> MODERATE </w:t>
      </w:r>
    </w:p>
    <w:p>
      <w:pPr>
        <w:spacing w:before="0" w:after="40"/>
      </w:pPr>
      <w:r>
        <w:rPr>
          <w:rFonts w:ascii="Calibri" w:hAnsi="Calibri"/>
          <w:b/>
          <w:color w:val="16A34A"/>
          <w:sz w:val="28"/>
        </w:rPr>
        <w:t>7</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858"/>
            <w:shd w:fill="16A34A" w:val="clear"/>
          </w:tcPr>
          <w:p>
            <w:pPr>
              <w:spacing w:before="0" w:after="0"/>
            </w:pPr>
            <w:r>
              <w:rPr>
                <w:rFonts w:ascii="Calibri" w:hAnsi="Calibri"/>
                <w:b w:val="0"/>
                <w:color w:val="1A2010"/>
                <w:sz w:val="4"/>
              </w:rPr>
            </w:r>
          </w:p>
        </w:tc>
        <w:tc>
          <w:tcPr>
            <w:tcW w:type="dxa" w:w="1654"/>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AI Risk Protection (7/9): Retension's core business — developing a small-molecule PDE-5 inhibitor through FDA-regulated clinical trials — is structurally protected from AI disruption. Drug development requires physical clinical trials, biological patient responses, and multi-year regulatory review processes that AI cannot substitute or bypass [3]. The molecule RTN-001 itself is a tangible chemical entity whose efficacy must be demonstrated in human subjects regardless of AI advances. However, Retension is not fully IMMUNE because AI-powered drug discovery platforms at larger competitors (e.g., Recursion, Insilico Medicine) could accelerate development of competing hypertension treatments, and the company's lack of proprietary AI capabilities leaves it reliant on traditional discovery methods in an increasingly AI-augmented pharma landscape [2]. AI Opportunity (0/1): Retension generates zero revenue from AI products or services; the company employs no disclosed AI tools in its R&amp;D pipeline and has no AI-related commercial strategy [2].</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FAITH ALIGNMENT — INSPIRE INSIGHT</w:t>
            </w:r>
          </w:p>
        </w:tc>
      </w:tr>
    </w:tbl>
    <w:p>
      <w:pPr>
        <w:spacing w:after="40"/>
      </w:pPr>
      <w:r>
        <w:rPr>
          <w:rFonts w:ascii="Calibri" w:hAnsi="Calibri"/>
          <w:b w:val="0"/>
          <w:color w:val="6E8450"/>
          <w:sz w:val="22"/>
        </w:rPr>
        <w:t xml:space="preserve">Inspire Impact Score:  </w:t>
      </w:r>
      <w:r>
        <w:rPr>
          <w:rFonts w:ascii="Calibri" w:hAnsi="Calibri"/>
          <w:b/>
          <w:color w:val="16A34A"/>
          <w:sz w:val="28"/>
        </w:rPr>
        <w:t>0</w:t>
      </w:r>
      <w:r>
        <w:rPr>
          <w:rFonts w:ascii="Calibri" w:hAnsi="Calibri"/>
          <w:b/>
          <w:color w:val="B8860B"/>
          <w:sz w:val="20"/>
        </w:rPr>
        <w:t xml:space="preserve">    MIXED</w:t>
      </w:r>
    </w:p>
    <w:p>
      <w:pPr>
        <w:spacing w:before="120"/>
      </w:pPr>
      <w:r>
        <w:rPr>
          <w:rFonts w:ascii="Calibri" w:hAnsi="Calibri"/>
          <w:b w:val="0"/>
          <w:color w:val="9DAF88"/>
          <w:sz w:val="15"/>
        </w:rPr>
        <w:t>Source: Inspire Insight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RESOURCES</w:t>
            </w:r>
          </w:p>
        </w:tc>
      </w:tr>
    </w:tbl>
    <w:p>
      <w:pPr>
        <w:spacing w:before="20" w:after="20"/>
        <w:ind w:left="170"/>
      </w:pPr>
      <w:r>
        <w:rPr>
          <w:rFonts w:ascii="Calibri" w:hAnsi="Calibri"/>
          <w:b/>
          <w:color w:val="4A6B25"/>
          <w:sz w:val="15"/>
        </w:rPr>
        <w:t xml:space="preserve">1. </w:t>
      </w:r>
      <w:r>
        <w:rPr>
          <w:rFonts w:ascii="Calibri" w:hAnsi="Calibri"/>
          <w:b w:val="0"/>
          <w:color w:val="3A4A28"/>
          <w:sz w:val="17"/>
        </w:rPr>
        <w:t>Retension Pharmaceuticals S-1/A and 424B4 SEC Filings — IPO pricing at $12/share, $45M raised, financial statements showing $13.5M cash, $6.2M R&amp;D spend, ~$12M net loss TTM, FY2026</w:t>
      </w:r>
    </w:p>
    <w:p>
      <w:pPr>
        <w:spacing w:before="20" w:after="20"/>
        <w:ind w:left="170"/>
      </w:pPr>
      <w:r>
        <w:rPr>
          <w:rFonts w:ascii="Calibri" w:hAnsi="Calibri"/>
          <w:b/>
          <w:color w:val="4A6B25"/>
          <w:sz w:val="15"/>
        </w:rPr>
        <w:t xml:space="preserve">2. </w:t>
      </w:r>
      <w:r>
        <w:rPr>
          <w:rFonts w:ascii="Calibri" w:hAnsi="Calibri"/>
          <w:b w:val="0"/>
          <w:color w:val="3A4A28"/>
          <w:sz w:val="17"/>
        </w:rPr>
        <w:t>Retension Pharmaceuticals Company Profile — StockAnalysis.com, Quartr, Robinhood — CEO Eric Keller, 12 employees, Falls Church VA, clinical-stage biopharma overview, accessed October 2026</w:t>
      </w:r>
    </w:p>
    <w:p>
      <w:pPr>
        <w:spacing w:before="20" w:after="20"/>
        <w:ind w:left="170"/>
      </w:pPr>
      <w:r>
        <w:rPr>
          <w:rFonts w:ascii="Calibri" w:hAnsi="Calibri"/>
          <w:b/>
          <w:color w:val="4A6B25"/>
          <w:sz w:val="15"/>
        </w:rPr>
        <w:t xml:space="preserve">3. </w:t>
      </w:r>
      <w:r>
        <w:rPr>
          <w:rFonts w:ascii="Calibri" w:hAnsi="Calibri"/>
          <w:b w:val="0"/>
          <w:color w:val="3A4A28"/>
          <w:sz w:val="17"/>
        </w:rPr>
        <w:t>Renaissance Capital IPO Center and IPOX — Retension Pharmaceuticals IPO filing details, Phase 2b trial for RTN-001 hypertension drug, clinical timeline H1 2027 data readout, October 2026</w:t>
      </w:r>
    </w:p>
    <w:p>
      <w:pPr>
        <w:spacing w:before="20" w:after="20"/>
        <w:ind w:left="170"/>
      </w:pPr>
      <w:r>
        <w:rPr>
          <w:rFonts w:ascii="Calibri" w:hAnsi="Calibri"/>
          <w:b/>
          <w:color w:val="4A6B25"/>
          <w:sz w:val="15"/>
        </w:rPr>
        <w:t xml:space="preserve">4. </w:t>
      </w:r>
      <w:r>
        <w:rPr>
          <w:rFonts w:ascii="Calibri" w:hAnsi="Calibri"/>
          <w:b w:val="0"/>
          <w:color w:val="3A4A28"/>
          <w:sz w:val="17"/>
        </w:rPr>
        <w:t>Investing.com Form 4 Filing — CEO Eric Keller purchased 20,800 shares at $12.00 on October 13, 2026, total transaction $249,600, October 2026</w:t>
      </w:r>
    </w:p>
    <w:p>
      <w:pPr>
        <w:spacing w:before="400"/>
        <w:jc w:val="center"/>
      </w:pPr>
      <w:r>
        <w:rPr>
          <w:rFonts w:ascii="Calibri" w:hAnsi="Calibri"/>
          <w:b w:val="0"/>
          <w:color w:val="9DAF88"/>
          <w:sz w:val="16"/>
        </w:rPr>
        <w:t>Paradiem, LLC dba Intentional Ownership (“IOWN”) is a registered investment advisor. The information provided is for educational and informational purposes only and does not constitute investment advice.</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