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RTX</w:t>
      </w:r>
      <w:r>
        <w:rPr>
          <w:rFonts w:ascii="Calibri" w:hAnsi="Calibri"/>
          <w:b/>
          <w:color w:val="1A2010"/>
          <w:sz w:val="40"/>
        </w:rPr>
        <w:t xml:space="preserve">  RTX Corporation</w:t>
      </w:r>
    </w:p>
    <w:p>
      <w:pPr>
        <w:spacing w:after="120"/>
      </w:pPr>
      <w:r>
        <w:rPr>
          <w:rFonts w:ascii="Calibri" w:hAnsi="Calibri"/>
          <w:b/>
          <w:color w:val="6E8450"/>
          <w:sz w:val="18"/>
        </w:rPr>
        <w:t>GROWTH SLEEVE · 2026-10-16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NYSE · United States</w:t>
      </w:r>
    </w:p>
    <w:p>
      <w:pPr>
        <w:spacing w:after="80"/>
      </w:pPr>
      <w:r>
        <w:rPr>
          <w:rFonts w:ascii="Calibri" w:hAnsi="Calibri"/>
          <w:b w:val="0"/>
          <w:color w:val="3A4A28"/>
          <w:sz w:val="20"/>
        </w:rPr>
        <w:t>RTX Corporation is one of the world's largest aerospace and defense companies, operating through three segments — Collins Aerospace (avionics, interiors, mission systems), Pratt &amp; Whitney (commercial and military jet engines), and Raytheon (missiles, defense electronics, cybersecurity). Q2 2026 revenue rose 14% to $24.71B with adjusted EPS of $1.89, beating consensus estimates of $22.89B revenue and $1.66 EPS [1]. Total backlog reached a record $289B (+22% YoY), including $170B commercial and $119B defense. Full-year 2026 guidance calls for adjusted EPS of $7.10-$7.25 on revenue of $95-96B [1][2].</w:t>
      </w:r>
    </w:p>
    <w:p>
      <w:r>
        <w:rPr>
          <w:rFonts w:ascii="Calibri" w:hAnsi="Calibri"/>
          <w:b/>
          <w:color w:val="6E8450"/>
          <w:sz w:val="18"/>
        </w:rPr>
        <w:t>185,000 Employees · https://www.rtx.com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RTX completed the transformative Raytheon Technologies merger (2020) and subsequent restructuring that divested Otis Elevator and Carrier to create a focused A&amp;D company [1]. Pratt &amp; Whitney's geared turbofan (GTF) technology represents a generational engine breakthrough delivering 16-20% fuel savings over prior generation engines, though the powder metal contamination issue requiring inspections of thousands of engines was a significant setback. Raytheon has advanced hypersonic weapons, next-gen missile defense systems, and electronic warfare capabilities across active programs. AI Deployment (1/2): RTX deploys AI across defense applications including autonomous targeting, sensor fusion, predictive maintenance for jet engines, and electronic warfare systems in active military use. Raytheon's AI-enabled defense platforms are deployed by the U.S. military and allies, but specific AI revenue is not separately quantified [2]. Market Share (2/2): Raytheon is the #2 pure-play defense contractor globally. Pratt &amp; Whitney powers approximately 50% of the world's narrowbody fleet through the GTF engine. Collins Aerospace is a top-3 avionics and aircraft systems provider. Record backlog of $289B (+22% YoY) with $43B+ in new orders booked in Q2 alone demonstrates dominant market position [1][2]. Product Pipeline (1/2): Pipeline includes GEM-T Patriot effectors ($5B order), SM-3 Block IIA interceptors ($745M MDA contract), next-gen LRASM, F-135 engine upgrades, and classified programs [2]. However, specific timelines and revenue visibility for next-gen platforms are limited by classification, and the pipeline is primarily extensions of existing platforms rather than breakthrough new systems. R&amp;D Intensity (0/1): Company-funded R&amp;D as a percentage of revenue is modest relative to technology peers; defense R&amp;D is primarily government-funded through contract mechanisms rather than company-funded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RTX's stated purpose is 'advancing aviation, building smarter defense systems and creating innovations to help our planet.' This connects the company's work to societal benefit — safer air travel, national security, technological progress — and differentiates somewhat from pure defense contractors through the aviation and environmental angle. However, it's not deeply distinctive; any major defense/aerospace company could articulate similar themes [3]. Community Impact (1/2): RTX maintains the RTX Foundation focused on STEM education, invests in veteran support organizations, and has community development programs across its major sites. The company's scale (185,000 employees) amplifies community impact, though specific dollar amounts for philanthropic activities were not verified in this research [4]. Employee Retention (1/2): Glassdoor ratings of 3.8/5 are in line with the aerospace and defense industry average (3.6). Some employees praise stability, benefits, and funded backlog visibility, but post-merger integration has created leadership turnover and organizational friction in certain business units [3]. CEO Christopher Calio's approval rating of 60-62% is adequate but not exceptional. Insider Buying (0/2): No evidence of meaningful net insider buying by Calio or senior executives in the last 12 months. Defense executives typically receive stock-based compensation but do not make large open-market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strong fundamentals across most dimensions. D/E of 57.0% is well below the 70% target (score 1.0), and revenue growth YoY of 14.5% exceeds the 10% target (score 1.0) driven by record defense orders and commercial aerospace recovery [1]. ROE of 12.3% falls short of the 15% target (score 0.82, 2x weight), reflecting the capital-intensive nature of defense manufacturing. 5-year revenue CAGR of approximately 8% scores well (score 0.87, 2x weight). Forward P/E of 23.8 is above the 20 target but within the scoring range (score 0.91). Profit margin of 8.3% is below the 20% target (score 0.41), reflecting the lower-margin defense contract structure [1]. Forward PEG of approximately 1.6 (Forward P/E 23.8 / estimated 15% normalized EPS growth) falls between the 1.0 target and 3.0 floor (score 0.71, 2x weight). Daily dollar volume of $830M provides maximum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RTX demonstrates meaningful infinite game characteristics through its century-long legacy of serving aviation and defense (Pratt &amp; Whitney founded 1925, Raytheon 1922), the transformative Raytheon Technologies merger that restructured the company for long-term A&amp;D focus, and its willingness to invest through the GTF engine contamination crisis rather than cutting corners. The record $289B backlog provides decades-forward visibility that inherently rewards long-term thinking. However, the $1B fraud/bribery settlement reveals governance failures in certain divisions, post-merger cultural integration remains unfinished, and the defense industry's competitive language often defaults to finite framing around contract wins and market share capture.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RTX's purpose of advancing aviation and building smarter defense systems connects to national security and technological progress — purposes that have endured through a century of operation across Pratt &amp; Whitney (1925) and Raytheon (1922) [1]. The commitment has survived multiple leadership transitions, geopolitical shifts, and the massive Raytheon Technologies merger/restructuring. Strategic decisions — investing in GTF engine technology despite contamination setbacks, maintaining defense capabilities through budget cycles — trace to this enduring purpose. However, the purpose is broadly shared across the defense industry and hasn't been uniquely validated as a competitive advantage in the way Sinek's exemplar companies demonstrate.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3.8/5 is adequate for the defense industry (average 3.6), and employees cite stability, benefits, and funded backlog as positives [3]. However, post-Raytheon Technologies merger integration has created cultural friction, with reviews describing leadership turnover, lack of direction, and a 'shooting star mentality' for top performers. CEO Christopher Calio's 60-62% approval rate is adequate but not exceptional. The 185,000-person organization across three major segments is still unifying its culture four years post-merger.</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RTX acknowledges Lockheed Martin, Northrop Grumman, and other primes as competitors that drive improvement. The competitive dynamic around the F-35 engine program — Pratt &amp; Whitney's F-135 versus GE's adaptive engine alternative — represents constructive rivalry that pushes both companies to innovate. Management commentary frames competition in terms of 'being the partner of choice' for customers rather than destroying competitors, reflecting an improvement-oriented competitive mindset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Raytheon Technologies merger fundamentally restructured the company — divesting the profitable Otis Elevator and Carrier businesses to create a pure-play A&amp;D company was a transformative decision that sacrificed diversification for strategic focus [1]. The GTF engine investment represented a generational bet on fuel efficiency that is now paying off through the narrowbody replacement cycle. These demonstrate meaningful strategic evolution, though both were driven by market logic rather than a Just Cause-driven willingness to abandon the core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RTX invested through the GTF engine powder metal contamination crisis rather than cutting R&amp;D, maintained engine production rates despite supply chain constraints, and executed the Raytheon merger despite massive integration complexity [1][2]. The company maintained its dividend and shareholder returns even as Trump administration pressure on defense contractor margins created political uncertainty [4]. However, the $1B fraud/bribery settlement with the DOJ over Pentagon overcharging and Qatar bribery represents a significant leadership integrity failure that partially offsets the positive evidence.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RTX at $186.95 with a $252B market cap is the premier diversified A&amp;D franchise executing at the intersection of commercial aerospace recovery and a global defense upcycle. Q2 2026 revenue surged 14% to $24.71B with adjusted EPS of $1.89, crushing the $1.66 consensus, and total backlog reached a record $289B (+22% YoY) with $43B+ in new quarterly bookings — including $20B at Raytheon, $5B in GEM-T Patriot orders, and $4B in classified awards [1][2]. The company raised full-year guidance to $7.10-$7.25 adjusted EPS on $95-96B revenue. Pratt &amp; Whitney's GTF engine powers approximately 50% of the global narrowbody fleet, positioning it as the prime beneficiary of the A320neo/A220 production ramp, while Raytheon's missile and air defense portfolio benefits from $20B+ in annual European and allied defense spending increases. D/E of 57% and an investment-grade balance sheet support both organic investment and shareholder returns.</w:t>
      </w:r>
    </w:p>
    <w:p>
      <w:pPr>
        <w:spacing w:after="120"/>
      </w:pPr>
      <w:r>
        <w:rPr>
          <w:rFonts w:ascii="Calibri" w:hAnsi="Calibri"/>
          <w:b w:val="0"/>
          <w:color w:val="3A4A28"/>
          <w:sz w:val="20"/>
        </w:rPr>
        <w:t>The bear case centers on execution risk, margin pressure, and geopolitical uncertainty. Profit margin of 8.3% reflects the capital-intensive, cost-plus nature of defense contracting and Pratt &amp; Whitney's engine aftermarket, and margin expansion may be constrained by supply chain bottlenecks as the industry ramps to multi-year production highs [1]. The PEG of approximately 1.6 suggests the market is pricing in sustained mid-teens earnings growth, leaving limited upside if defense budgets plateau or commercial aerospace recovery slows. The $1B fraud/bribery settlement with the DOJ over Pentagon overcharging and Qatar bribery represents a reputational and governance risk that could affect future contract awards [4]. Working capital buildup at higher production rates consumes cash and could pressure free cash flow conversion. The 2027 NDAA has not yet been enacted following a failed Senate cloture vote, creating near-term defense budget uncertainty. Pratt &amp; Whitney's GTF powder metal contamination issue continues to require engine inspections that create MRO scheduling constraints and customer friction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backlog of $289B (+22% YoY) with TTM book-to-bill of approximately 1.5x provides multi-year revenue visibility and supports confidence in the $95-96B revenue guidance, with defense orders accelerating on European rearmament and allied defense spending increases [1][2]</w:t>
      </w:r>
    </w:p>
    <w:p>
      <w:pPr>
        <w:spacing w:before="40" w:after="40"/>
        <w:ind w:left="283"/>
      </w:pPr>
      <w:r>
        <w:rPr>
          <w:rFonts w:ascii="Calibri" w:hAnsi="Calibri"/>
          <w:b/>
          <w:color w:val="4A6B25"/>
          <w:sz w:val="20"/>
        </w:rPr>
        <w:t xml:space="preserve">2. </w:t>
      </w:r>
      <w:r>
        <w:rPr>
          <w:rFonts w:ascii="Calibri" w:hAnsi="Calibri"/>
          <w:b w:val="0"/>
          <w:color w:val="3A4A28"/>
          <w:sz w:val="20"/>
        </w:rPr>
        <w:t>Pratt &amp; Whitney's GTF engine production ramp benefits from the Airbus A320neo and A220 production increases, with approximately 50% of the global narrowbody fleet powered by Pratt engines and a $170B commercial backlog providing decade-long visibility</w:t>
      </w:r>
    </w:p>
    <w:p>
      <w:pPr>
        <w:spacing w:before="40" w:after="40"/>
        <w:ind w:left="283"/>
      </w:pPr>
      <w:r>
        <w:rPr>
          <w:rFonts w:ascii="Calibri" w:hAnsi="Calibri"/>
          <w:b/>
          <w:color w:val="4A6B25"/>
          <w:sz w:val="20"/>
        </w:rPr>
        <w:t xml:space="preserve">3. </w:t>
      </w:r>
      <w:r>
        <w:rPr>
          <w:rFonts w:ascii="Calibri" w:hAnsi="Calibri"/>
          <w:b w:val="0"/>
          <w:color w:val="3A4A28"/>
          <w:sz w:val="20"/>
        </w:rPr>
        <w:t>Raytheon's missile and air defense franchise is the prime beneficiary of the global air defense replenishment cycle — $5B in GEM-T Patriot orders, $745M SM-3 Block IIA contract, and $4B in classified awards in Q2 alone demonstrate accelerating demand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Profit margin of 8.3% and capital-intensive production ramps constrain earnings leverage — supply chain bottlenecks for castings, forgings, and electronic components could delay deliveries and compress margins further as the industry pushes toward multi-year production highs [1]</w:t>
      </w:r>
    </w:p>
    <w:p>
      <w:pPr>
        <w:spacing w:before="40" w:after="40"/>
        <w:ind w:left="283"/>
      </w:pPr>
      <w:r>
        <w:rPr>
          <w:rFonts w:ascii="Calibri" w:hAnsi="Calibri"/>
          <w:b/>
          <w:color w:val="4A6B25"/>
          <w:sz w:val="20"/>
        </w:rPr>
        <w:t xml:space="preserve">2. </w:t>
      </w:r>
      <w:r>
        <w:rPr>
          <w:rFonts w:ascii="Calibri" w:hAnsi="Calibri"/>
          <w:b w:val="0"/>
          <w:color w:val="3A4A28"/>
          <w:sz w:val="20"/>
        </w:rPr>
        <w:t>The $1B DOJ fraud/bribery settlement for Pentagon overcharging and Qatar bribery represents a governance failure that could affect future contract competitiveness, and ongoing shareholder proposals on human rights due diligence for weapons used in conflict zones create reputational pressure [4]</w:t>
      </w:r>
    </w:p>
    <w:p>
      <w:pPr>
        <w:spacing w:before="40" w:after="40"/>
        <w:ind w:left="283"/>
      </w:pPr>
      <w:r>
        <w:rPr>
          <w:rFonts w:ascii="Calibri" w:hAnsi="Calibri"/>
          <w:b/>
          <w:color w:val="4A6B25"/>
          <w:sz w:val="20"/>
        </w:rPr>
        <w:t xml:space="preserve">3. </w:t>
      </w:r>
      <w:r>
        <w:rPr>
          <w:rFonts w:ascii="Calibri" w:hAnsi="Calibri"/>
          <w:b w:val="0"/>
          <w:color w:val="3A4A28"/>
          <w:sz w:val="20"/>
        </w:rPr>
        <w:t>Defense budget uncertainty — the 2027 NDAA failed a Senate cloture vote, and potential budget sequestration or continuing resolutions could delay new contract awards and reduce near-term order flow despite the strong backlog position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Defense contracting is structurally immune to AI disruption. Military hardware — missiles, jet engines, radar systems, avionics, and cybersecurity infrastructure — requires decades of qualification, security clearances, manufacturing capability, and government relationships that AI fundamentally cannot replace [1][2]. The $289B backlog provides multi-year revenue visibility that is contractually locked in. In fact, AI increases demand for RTX's products as militaries deploy AI-enabled weapons systems, autonomous platforms, and advanced sensor networks — RTX is a supplier to the AI-defense build-out, not a victim of it. Pratt &amp; Whitney's engine maintenance is driven by physical wear on turbine components that AI cannot eliminate. However, AI could eventually automate some lower-value engineering services and reduce labor content in maintenance, representing marginal exposure. AI Opportunity (1/1): RTX generates AI-related revenue through AI-enabled defense systems deployed across active military programs — autonomous targeting, sensor fusion for Patriot/SM-3 interceptors, predictive maintenance platforms for engine fleets, and electronic warfare systems [2]. While not separately reported, these capabilities are embedded in billions of dollars of defense contracts.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RTX Corporation Q2 2026 Earnings — Revenue $24.71B (+14% YoY), Adjusted EPS $1.89 (Beat $1.66), Total Backlog $289B (+22% YoY), Guidance $7.10-$7.25 EPS — Nasdaq, fn2.ai, July 2026</w:t>
      </w:r>
    </w:p>
    <w:p>
      <w:pPr>
        <w:spacing w:before="20" w:after="20"/>
        <w:ind w:left="170"/>
      </w:pPr>
      <w:r>
        <w:rPr>
          <w:rFonts w:ascii="Calibri" w:hAnsi="Calibri"/>
          <w:b/>
          <w:color w:val="4A6B25"/>
          <w:sz w:val="15"/>
        </w:rPr>
        <w:t xml:space="preserve">2. </w:t>
      </w:r>
      <w:r>
        <w:rPr>
          <w:rFonts w:ascii="Calibri" w:hAnsi="Calibri"/>
          <w:b w:val="0"/>
          <w:color w:val="3A4A28"/>
          <w:sz w:val="17"/>
        </w:rPr>
        <w:t>RTX Defense Orders and Backlog — $43B Q2 Bookings, $20B Raytheon, $5B GEM-T Patriot, $4B Classified, SM-3 Block IIA $745M MDA Contract — Autobound, CNH News, August 2026</w:t>
      </w:r>
    </w:p>
    <w:p>
      <w:pPr>
        <w:spacing w:before="20" w:after="20"/>
        <w:ind w:left="170"/>
      </w:pPr>
      <w:r>
        <w:rPr>
          <w:rFonts w:ascii="Calibri" w:hAnsi="Calibri"/>
          <w:b/>
          <w:color w:val="4A6B25"/>
          <w:sz w:val="15"/>
        </w:rPr>
        <w:t xml:space="preserve">3. </w:t>
      </w:r>
      <w:r>
        <w:rPr>
          <w:rFonts w:ascii="Calibri" w:hAnsi="Calibri"/>
          <w:b w:val="0"/>
          <w:color w:val="3A4A28"/>
          <w:sz w:val="17"/>
        </w:rPr>
        <w:t>RTX Corporation Glassdoor Reviews — 3.8/5 Stars, CEO Christopher Calio 60-62% Approval, Post-Merger Integration Issues — Glassdoor, 2026</w:t>
      </w:r>
    </w:p>
    <w:p>
      <w:pPr>
        <w:spacing w:before="20" w:after="20"/>
        <w:ind w:left="170"/>
      </w:pPr>
      <w:r>
        <w:rPr>
          <w:rFonts w:ascii="Calibri" w:hAnsi="Calibri"/>
          <w:b/>
          <w:color w:val="4A6B25"/>
          <w:sz w:val="15"/>
        </w:rPr>
        <w:t xml:space="preserve">4. </w:t>
      </w:r>
      <w:r>
        <w:rPr>
          <w:rFonts w:ascii="Calibri" w:hAnsi="Calibri"/>
          <w:b w:val="0"/>
          <w:color w:val="3A4A28"/>
          <w:sz w:val="17"/>
        </w:rPr>
        <w:t>RTX Corporation ESG and Governance — $1B DOJ Fraud/Bribery Settlement, Human Rights Shareholder Proposals, NZ Superfund Divestiture, Trump Defense Pressure — SEC, ZNetwork, Scoop, Bloomberg,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