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RVMD</w:t>
      </w:r>
      <w:r>
        <w:rPr>
          <w:rFonts w:ascii="Calibri" w:hAnsi="Calibri"/>
          <w:b/>
          <w:color w:val="1A2010"/>
          <w:sz w:val="40"/>
        </w:rPr>
        <w:t xml:space="preserve">  Revolution Medicines, Inc.</w:t>
      </w:r>
    </w:p>
    <w:p>
      <w:pPr>
        <w:spacing w:after="120"/>
      </w:pPr>
      <w:r>
        <w:rPr>
          <w:rFonts w:ascii="Calibri" w:hAnsi="Calibri"/>
          <w:b/>
          <w:color w:val="6E8450"/>
          <w:sz w:val="18"/>
        </w:rPr>
        <w:t>GROWTH SLEEVE · 2026-09-03 · Inspire: 27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Revolution Medicines is a precision oncology company that has developed the first approved targeted therapy against RAS-driven cancers, the most frequently mutated oncogene family in human cancers. On August 26, 2026, the FDA approved daraxonrasib (RASONQUE) for metastatic pancreatic adenocarcinoma, making it the first RAS GTPase family inhibitor approved for pancreatic cancer — a drug that doubled survival rates in clinical trials. The company's pipeline also includes zoldonrasib (RAS G12D selective inhibitor) in Phase III clinical trials for non-small cell lung cancer. Founded in 2014, headquartered in Redwood City, California, with a $44.5B market cap and $3.9B cash position.</w:t>
      </w:r>
    </w:p>
    <w:p>
      <w:r>
        <w:rPr>
          <w:rFonts w:ascii="Calibri" w:hAnsi="Calibri"/>
          <w:b/>
          <w:color w:val="6E8450"/>
          <w:sz w:val="18"/>
        </w:rPr>
        <w:t>883 Employees · https://www.revmed.com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Revolution Medicines achieved a transformative milestone with the FDA approval of daraxonrasib (RASONQUE) on August 26, 2026 for metastatic pancreatic adenocarcinoma — the first targeted therapy against a target considered 'undruggable' for 40 years [1][4]. Phase III data showed a 60% reduction in risk of death versus chemotherapy, doubling survival rates in a cancer with historically dismal outcomes. The 2023 EQRx reverse merger added commercial infrastructure and capital. This represents a company-redefining event, transforming RVMD from clinical-stage to commercial-stage. AI Deployment (0/2): No AI-powered products or quantified AI-driven efficiencies reported; the company's innovation is rooted in medicinal chemistry and structural biology rather than computational AI. Market Share (2/2): Daraxonrasib is the first approved targeted RAS therapy for pancreatic cancer, defining a new therapeutic category. RVMD is the category creator and sole approved therapy in multi-selective RAS targeting, with no direct approved competitors — a dominant first-mover position in a potentially multi-billion-dollar oncology market [4]. Product Pipeline (2/2): Zoldonrasib (RAS G12D selective inhibitor) is advancing in Phase III clinical trials with RASolve 308 evaluating combination therapy in first-line RAS G12D non-small cell lung cancer [2]. Multiple pipeline candidates across pancreatic, colorectal, and NSCLC indications with clear regulatory timelines. R&amp;D Intensity (1/1): Full-year 2026 GAAP OpEx guided to $2.1-2.2B, reflecting extreme R&amp;D and commercial launch intensity for a newly commercializing company with $3.9B cash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Revolution Medicines' purpose — 'challenging longstanding dogma through bold science, operational discipline, and commitment to improving patient outcomes' in oncology — is specific, thoughtful, and now validated by the FDA approval of the first targeted therapy against an oncogene considered undruggable for 40 years [3]. CEO Mark Goldsmith consistently connects strategic decisions to patient impact. The FDA expanded access authorization prior to approval demonstrates commitment to getting the drug to patients urgently. However, founded in 2014 and with its first product just approved, the mission has not yet been tested through decades of execution or leadership transitions. Community Impact (1/2): The FDA expanded access authorization for daraxonrasib before formal approval demonstrated genuine commitment to patient access in a deadly cancer with few treatment options [4]. However, no specific charitable foundations, community investment programs, or philanthropic initiatives were identified beyond the core drug development mission. Employee Retention (0/2): Science-driven culture in the San Francisco Bay Area biotech hub; appointment of Chief People and Culture Officer Jeff Winton suggests growing attention to culture. However, no public data on voluntary turnover, average tenure, or specific retention metrics is available. Insider Buying (0/2): Significant net insider selling in 2026 — CEO Mark Goldsmith sold 264,891 shares for $42.5M, COO Margaret Horn sold 104,583 shares for $16.4M, and General Counsel Jeff Cislini sold 62,009 shares for $12.5M over the past 6 months [5]. While typical for biotech executives diversifying after a major stock appreciation, this represents substantial selling at a critical commercialization juncture.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newly commercializing biotech with its first FDA approval on August 26, 2026, RVMD scores at floor on most financial metrics. The company has $3.9B in cash and investments bolstered by April 2026 equity and convertible note proceeds [2], but negative ROE (company is not yet profitable), negative profit margin (Q2 2026 net loss of $644M including $151M non-cash warrant charge), and negative forward P/E of -24.65 all score 0.0 [6]. Revenue growth and PEG ratio are not applicable for a company just entering commercialization. The $44.5B market cap is entirely pipeline- and approval-driven, with cash runway extended through 2028+ based on the April capital raise. The IOWN Infrastructure framework penalizes pre-commercial biotech structurally — this score reflects financial metrics, not pipeline value or regulatory success. Liquidity floor cleared at ~$441.9M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Revolution Medicines has a genuine scientific cause — conquering 'undruggable' RAS-driven cancers that kill hundreds of thousands annually — now validated by the landmark FDA approval of daraxonrasib on August 26, 2026, the first approved targeted RAS therapy for pancreatic cancer [4]. The company demonstrated extraordinary courage by investing billions over a decade on a target the pharmaceutical industry abandoned, and the FDA approval vindicates that conviction. However, RVMD is still young (founded 2014), has not survived a leadership transition, and faces the existential test of commercialization against well-resourced pharma competitors. The massive insider selling by the CEO and other executives at this pivotal moment raises questions about long-term conviction versus financial realization.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Revolution Medicines' purpose — overturning 40 years of 'undruggable' RAS dogma to develop transformative cancer therapies — is genuine, distinctive, and now validated by FDA approval of daraxonrasib, which doubled survival rates in pancreatic cancer [4]. CEO Goldsmith's language consistently connects strategic decisions to patient outcomes, and the FDA expanded access authorization before formal approval demonstrates cause-driven urgency. However, the company is only 12 years old, has not survived a leadership transition, market crisis, or competitive threat from larger pharma, and massive CEO insider selling ($42.5M) at this pivotal moment introduces uncertainty about whether the cause is truly primary [5].</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company's science-driven culture, appointment of Chief People and Culture Officer Jeff Winton, key leadership additions including Alan Sandler, M.D. as Chief Development Officer, and the orderly R&amp;D leadership transition (Steve Kelsey to senior advisor) suggest organizational maturity [3]. With 883 employees, the organization is small enough for leadership to maintain direct relationships. However, no public data on employee tenure, voluntary turnover, or cultural practices is available to confirm high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found of management acknowledging competitors' strengths or framing competition as motivation for self-improvement. RVMD's messaging focuses on the scientific breakthrough narrative and the 'undruggable' RAS achievement rather than explicitly learning from rivals like Amgen (sotorasib), BMS/Mirati, or other oncology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2023 EQRx reverse merger added commercial infrastructure, expanded the capital base, and positioned the company for commercialization — a meaningful strategic evolution from pure R&amp;D to integrated pharma [2]. The transition from clinical-stage to commercial-stage following the FDA approval represents a fundamental business model shift. However, the core scientific strategy (RAS-targeted oncology) has been consistent since founding — these are strategic extensions, not transformative reinventions.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Spending $2.1-2.2B annually with zero revenue for over a decade on a target that the pharmaceutical industry considered 'undruggable' for 40 years represents extraordinary scientific and financial courage, now vindicated by FDA approval [2][4]. The decision to raise annual OpEx guidance from $1.7-1.8B to $2.1-2.2B (accelerating clinical trials and commercial launch preparation) rather than conserving cash demonstrates commitment to the long-term scientific thesis over financial prudence. The $3.9B capital raise in April 2026 — accepting dilution to fund aggressive development — shows willingness to sacrifice short-term interests for long-term capability. This is among the clearest examples of Sinek's Courage to Lead in the IOWN universe.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Revolution Medicines achieved a landmark milestone with the FDA approval of daraxonrasib (RASONQUE) on August 26, 2026 — the first targeted therapy for metastatic pancreatic adenocarcinoma, a cancer that kills ~47,000 Americans annually, with Phase III data showing a 60% reduction in risk of death versus chemotherapy and doubling of survival rates [4]. The $44.5B market cap reflects the market's conviction that RAS(ON) inhibitors will become a cornerstone of oncology treatment. With $3.9B in cash providing runway through 2028+, the company is well-funded for the daraxonrasib commercial launch and continued development of zoldonrasib for NSCLC, which could expand the addressable market significantly [2]. The stock's 140% YTD gain and category-creating position justify premium valuation for investors who believe in the platform's multi-indication potential. The Inspire Impact Score of 27 (ALIGNED) makes RVMD attractive for faith-based investors seeking oncology exposure.</w:t>
      </w:r>
    </w:p>
    <w:p>
      <w:pPr>
        <w:spacing w:after="120"/>
      </w:pPr>
      <w:r>
        <w:rPr>
          <w:rFonts w:ascii="Calibri" w:hAnsi="Calibri"/>
          <w:b w:val="0"/>
          <w:color w:val="3A4A28"/>
          <w:sz w:val="20"/>
        </w:rPr>
        <w:t>The bear case centers on valuation risk, commercialization execution, and the structural limitations revealed by IOWN's financial scoring. At $210.41 with negative earnings, negative margins, and a $44.5B market cap, RVMD is priced for multi-billion-dollar peak sales that daraxonrasib must deliver — any commercial launch shortfall, reimbursement challenge, or competitive entry could trigger severe repricing [6]. The Q2 2026 net loss of $644M (including $151M non-cash warrant charge) underscores that profitability remains years away even with FDA approval. Competition from larger pharma companies with established oncology sales forces (Amgen, BMS, Eli Lilly) will intensify as the RAS(ON) category is validated, and Revolution must build commercial capabilities from scratch. Massive insider selling by CEO Goldsmith ($42.5M), COO Horn ($16.4M), and General Counsel Cislini ($12.5M) over six months — while typical for biotech executives after major appreciation — raises questions about management's view of current valuation versus long-term upside [5]. The IOWN framework structurally penalizes pre-commercial biotech with Infrastructure scores of 2/10, limiting the overall score despite exceptional innovation and AI resilience.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Daraxonrasib (RASONQUE) commercial launch for metastatic pancreatic adenocarcinoma following August 26, 2026 FDA approval — initial revenue ramp, insurance coverage determinations, and early prescription data will set the trajectory for peak sales estimates [4]</w:t>
      </w:r>
    </w:p>
    <w:p>
      <w:pPr>
        <w:spacing w:before="40" w:after="40"/>
        <w:ind w:left="283"/>
      </w:pPr>
      <w:r>
        <w:rPr>
          <w:rFonts w:ascii="Calibri" w:hAnsi="Calibri"/>
          <w:b/>
          <w:color w:val="4A6B25"/>
          <w:sz w:val="20"/>
        </w:rPr>
        <w:t xml:space="preserve">2. </w:t>
      </w:r>
      <w:r>
        <w:rPr>
          <w:rFonts w:ascii="Calibri" w:hAnsi="Calibri"/>
          <w:b w:val="0"/>
          <w:color w:val="3A4A28"/>
          <w:sz w:val="20"/>
        </w:rPr>
        <w:t>Zoldonrasib Phase III data readouts in RAS G12D non-small cell lung cancer (RASolve 308 and monotherapy expansion), which could expand the addressable market from pancreatic cancer ($2-4B TAM) to NSCLC ($5-10B+ TAM) [2]</w:t>
      </w:r>
    </w:p>
    <w:p>
      <w:pPr>
        <w:spacing w:before="40" w:after="40"/>
        <w:ind w:left="283"/>
      </w:pPr>
      <w:r>
        <w:rPr>
          <w:rFonts w:ascii="Calibri" w:hAnsi="Calibri"/>
          <w:b/>
          <w:color w:val="4A6B25"/>
          <w:sz w:val="20"/>
        </w:rPr>
        <w:t xml:space="preserve">3. </w:t>
      </w:r>
      <w:r>
        <w:rPr>
          <w:rFonts w:ascii="Calibri" w:hAnsi="Calibri"/>
          <w:b w:val="0"/>
          <w:color w:val="3A4A28"/>
          <w:sz w:val="20"/>
        </w:rPr>
        <w:t>Potential international regulatory filings and approvals for daraxonrasib in EU, Japan, and other markets, extending revenue opportunity beyond the U.S.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Commercialization execution risk — Revolution Medicines must build a commercial sales force from scratch to compete against established pharma companies in oncology; any launch stumble, reimbursement denial, or physician adoption delay could severely disappoint against the $44.5B market cap [4]</w:t>
      </w:r>
    </w:p>
    <w:p>
      <w:pPr>
        <w:spacing w:before="40" w:after="40"/>
        <w:ind w:left="283"/>
      </w:pPr>
      <w:r>
        <w:rPr>
          <w:rFonts w:ascii="Calibri" w:hAnsi="Calibri"/>
          <w:b/>
          <w:color w:val="4A6B25"/>
          <w:sz w:val="20"/>
        </w:rPr>
        <w:t xml:space="preserve">2. </w:t>
      </w:r>
      <w:r>
        <w:rPr>
          <w:rFonts w:ascii="Calibri" w:hAnsi="Calibri"/>
          <w:b w:val="0"/>
          <w:color w:val="3A4A28"/>
          <w:sz w:val="20"/>
        </w:rPr>
        <w:t>Valuation concentration — the entire $44.5B market cap rests on pipeline value with no meaningful revenue history; any clinical setback in zoldonrasib trials, safety signal in daraxonrasib post-marketing, or competitive entry in the RAS(ON) category could trigger catastrophic repricing [6]</w:t>
      </w:r>
    </w:p>
    <w:p>
      <w:pPr>
        <w:spacing w:before="40" w:after="40"/>
        <w:ind w:left="283"/>
      </w:pPr>
      <w:r>
        <w:rPr>
          <w:rFonts w:ascii="Calibri" w:hAnsi="Calibri"/>
          <w:b/>
          <w:color w:val="4A6B25"/>
          <w:sz w:val="20"/>
        </w:rPr>
        <w:t xml:space="preserve">3. </w:t>
      </w:r>
      <w:r>
        <w:rPr>
          <w:rFonts w:ascii="Calibri" w:hAnsi="Calibri"/>
          <w:b w:val="0"/>
          <w:color w:val="3A4A28"/>
          <w:sz w:val="20"/>
        </w:rPr>
        <w:t>Cash consumption — $2.1-2.2B annual OpEx against $3.9B cash means profitability must arrive before cash depletion; if the commercial launch underperforms expectations, a dilutive capital raise may be required despite the strong cash position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Drug development and commercialization are among the most structurally protected businesses from AI disruption — FDA regulatory pathways demand multi-year clinical trials with human subjects, physical drug manufacturing involves complex biochemical processes, and patent/regulatory exclusivity creates legal moats that AI cannot circumvent [4]. Daraxonrasib's FDA approval and manufacturing process are deeply physical-world operations that AI structurally cannot displace. Revolution Medicines' core competence in medicinal chemistry targeting RAS protein conformations requires decades of wet-lab expertise and institutional knowledge. The oncologist-patient treatment decision process involves deeply regulated prescription, insurance, and care coordination workflows that further insulate the business. The only AI-related exposure is that AI-driven drug discovery platforms could accelerate competitors' ability to develop rival RAS-targeting molecules, but RVMD's first-mover advantage with an approved product creates a significant head start. AI Opportunity (0/1): No AI-powered products or AI-generated revenue; the company's R&amp;D approach is traditional medicinal chemistry and structural biology.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Revolution Medicines Q1 2026 Earnings Call — $4.0B cash position, strong pipeline progress, operating expense guidance — Investing.com, Yahoo Finance, 2026</w:t>
      </w:r>
    </w:p>
    <w:p>
      <w:pPr>
        <w:spacing w:before="20" w:after="20"/>
        <w:ind w:left="170"/>
      </w:pPr>
      <w:r>
        <w:rPr>
          <w:rFonts w:ascii="Calibri" w:hAnsi="Calibri"/>
          <w:b/>
          <w:color w:val="4A6B25"/>
          <w:sz w:val="15"/>
        </w:rPr>
        <w:t xml:space="preserve">2. </w:t>
      </w:r>
      <w:r>
        <w:rPr>
          <w:rFonts w:ascii="Calibri" w:hAnsi="Calibri"/>
          <w:b w:val="0"/>
          <w:color w:val="3A4A28"/>
          <w:sz w:val="17"/>
        </w:rPr>
        <w:t>Revolution Medicines Q2 2026 Financial Results — Net loss $644M (incl. $151M warrant charge), $3.9B cash, FY2026 OpEx guidance $2.1-2.2B, zoldonrasib RASolve 308 initiated — IR Press Release, Yahoo Finance, August 2026</w:t>
      </w:r>
    </w:p>
    <w:p>
      <w:pPr>
        <w:spacing w:before="20" w:after="20"/>
        <w:ind w:left="170"/>
      </w:pPr>
      <w:r>
        <w:rPr>
          <w:rFonts w:ascii="Calibri" w:hAnsi="Calibri"/>
          <w:b/>
          <w:color w:val="4A6B25"/>
          <w:sz w:val="15"/>
        </w:rPr>
        <w:t xml:space="preserve">3. </w:t>
      </w:r>
      <w:r>
        <w:rPr>
          <w:rFonts w:ascii="Calibri" w:hAnsi="Calibri"/>
          <w:b w:val="0"/>
          <w:color w:val="3A4A28"/>
          <w:sz w:val="17"/>
        </w:rPr>
        <w:t>Revolution Medicines Leadership — CEO Mark Goldsmith M.D. Ph.D., Alan Sandler M.D. as CDO, Steve Kelsey transition, Jeff Winton as Chief People Officer — IR Press Releases, BioSpace, 2026</w:t>
      </w:r>
    </w:p>
    <w:p>
      <w:pPr>
        <w:spacing w:before="20" w:after="20"/>
        <w:ind w:left="170"/>
      </w:pPr>
      <w:r>
        <w:rPr>
          <w:rFonts w:ascii="Calibri" w:hAnsi="Calibri"/>
          <w:b/>
          <w:color w:val="4A6B25"/>
          <w:sz w:val="15"/>
        </w:rPr>
        <w:t xml:space="preserve">4. </w:t>
      </w:r>
      <w:r>
        <w:rPr>
          <w:rFonts w:ascii="Calibri" w:hAnsi="Calibri"/>
          <w:b w:val="0"/>
          <w:color w:val="3A4A28"/>
          <w:sz w:val="17"/>
        </w:rPr>
        <w:t>FDA Approves Daraxonrasib (RASONQUE) for Metastatic Pancreatic Adenocarcinoma — First RAS GTPase Family Inhibitor, Doubled Survival Rates — FDA.gov, CNBC, CNN, August 26, 2026</w:t>
      </w:r>
    </w:p>
    <w:p>
      <w:pPr>
        <w:spacing w:before="20" w:after="20"/>
        <w:ind w:left="170"/>
      </w:pPr>
      <w:r>
        <w:rPr>
          <w:rFonts w:ascii="Calibri" w:hAnsi="Calibri"/>
          <w:b/>
          <w:color w:val="4A6B25"/>
          <w:sz w:val="15"/>
        </w:rPr>
        <w:t xml:space="preserve">5. </w:t>
      </w:r>
      <w:r>
        <w:rPr>
          <w:rFonts w:ascii="Calibri" w:hAnsi="Calibri"/>
          <w:b w:val="0"/>
          <w:color w:val="3A4A28"/>
          <w:sz w:val="17"/>
        </w:rPr>
        <w:t>Revolution Medicines Insider Trading — CEO Goldsmith sold 264,891 shares ($42.5M), COO Horn sold 104,583 shares ($16.4M), GC Cislini sold 62,009 shares ($12.5M) in 6 months — SimplyWallSt, StockTitan,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 RVMD Key Statistics: Stock Price $210.41, Market Cap $44.5B, Forward P/E -24.65, ROE -76.7%, Avg Volume 2.1M, 52-week Range $37.88-$224.31,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