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RVTY</w:t>
      </w:r>
      <w:r>
        <w:rPr>
          <w:rFonts w:ascii="Calibri" w:hAnsi="Calibri"/>
          <w:b/>
          <w:color w:val="1A2010"/>
          <w:sz w:val="40"/>
        </w:rPr>
        <w:t xml:space="preserve">  Revvity, Inc.</w:t>
      </w:r>
    </w:p>
    <w:p>
      <w:pPr>
        <w:spacing w:after="120"/>
      </w:pPr>
      <w:r>
        <w:rPr>
          <w:rFonts w:ascii="Calibri" w:hAnsi="Calibri"/>
          <w:b/>
          <w:color w:val="6E8450"/>
          <w:sz w:val="18"/>
        </w:rPr>
        <w:t>GROWTH SLEEVE · 2026-09-24 · Inspire: 57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NYSE · United States</w:t>
      </w:r>
    </w:p>
    <w:p>
      <w:pPr>
        <w:spacing w:after="80"/>
      </w:pPr>
      <w:r>
        <w:rPr>
          <w:rFonts w:ascii="Calibri" w:hAnsi="Calibri"/>
          <w:b w:val="0"/>
          <w:color w:val="3A4A28"/>
          <w:sz w:val="20"/>
        </w:rPr>
        <w:t>Revvity, Inc. (formerly PerkinElmer, rebranded 2023) provides health sciences solutions, technologies, and services globally. Operates through Life Sciences (genomics, proteomics, drug discovery tools, Signals software) and Diagnostics (reproductive health screening, immunodiagnostics, applied genomics) segments. The company divested PerkinElmer's legacy food quality testing and enterprise services businesses in 2023 to focus exclusively on health sciences from discovery to cure. Q2 2026 revenue of $730M showed 4% pro forma growth, and management raised full-year 2026 guidance to $2.83-$2.86B revenue with $5.30-$5.40 adjusted EPS. Market cap is approximately $15.9B.</w:t>
      </w:r>
    </w:p>
    <w:p>
      <w:r>
        <w:rPr>
          <w:rFonts w:ascii="Calibri" w:hAnsi="Calibri"/>
          <w:b/>
          <w:color w:val="6E8450"/>
          <w:sz w:val="18"/>
        </w:rPr>
        <w:t>11,000 Employees · https://www.revvity.com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Revvity executed a transformative pivot in 2023 — divesting PerkinElmer's legacy applied, food, and enterprise services businesses to refocus entirely on life sciences and diagnostics, opening focused revenue streams in genomics, drug discovery, and AI-driven software [1][2]. The company has since launched three AI-driven platforms and continued expanding the Signals software ecosystem. AI Deployment (1/2): Launched Xynthetica (AI-models-as-a-service platform), BioDesign (cloud-native molecular design for biologics), and acquired Virtyx Technologies for its AI-driven data quality platform, demonstrating concrete AI investment in drug discovery workflows [2]. CEO Prahlad Singh stated AI is 'dramatically accelerating scientific discovery' but no quantified AI-specific revenue has been disclosed. Market Share (1/2): Global leader in neonatal screening and meaningful player in life sciences software, though trailing Thermo Fisher, Danaher, and Agilent in overall life sciences instrumentation market share [1]. Product Pipeline (1/2): Three named AI platform launches in 2026 (Xynthetica, BioDesign, LabGistics) with specific timelines, plus continued Signals ecosystem expansion and ACD Labs integration contributing approximately 75bps inorganic growth [2]. R&amp;D Intensity (1/1): Above-industry-average R&amp;D investment as a focused health sciences company, driving AI platform development and next-generation diagnostics capabilities.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Revvity's mission to 'expand the boundaries of human potential through science' is specific, thoughtful, and connects work to a larger purpose — validated by the bold divestiture of profitable but non-core businesses to concentrate on health sciences [1]. The mission clearly differentiates from peers and has shaped strategic capital allocation decisions. However, it is only three years old in its current form and has not yet been tested through a major crisis or leadership transition. Community Impact (1/2): UN Global Compact signatory, committed to 50% Scope 1/2 GHG reduction by 2033 with SBTi-aligned targets, published inaugural ESG report in 2023 with continued environmental disclosures [3]. General corporate sustainability commitment without standout charitable programs or specific dollar amounts. Employee Retention (0/2): Mixed Glassdoor reviews — some employees praise the values-driven culture and collaboration, while others cite 'constant layoffs,' 'low pay, high stress,' and 'incompetent leadership,' suggesting uneven cultural experience across the organization [2]. No specific tenure or turnover data available to quantify retention. Insider Buying (0/2): Net insider selling of approximately $335K in the past 12 months; no meaningful net insider buying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metrics. D/E of 46.2% is well below the 70% target, scoring maximum on balance sheet health [4]. ROE of 3.2% is weak — depressed by GAAP charges from transformation-era goodwill ($7.5B) and intangible amortization, though adjusted operating margins are expanding toward 28% [1]. Q2 2026 revenue of $730M grew 4% YoY with 3% pro forma organic growth; management raised full-year guidance to $2.83-$2.86B with 4-5% organic growth and $5.30-$5.40 adjusted EPS [1]. Forward P/E of 24.12x is above the 20x target, scoring 0.90. The standout metric is Forward PEG of 0.73, well below the 1.0 target, reflecting strong growth-adjusted valuation [4]. GAAP profit margin of 8.2% remains below the 20% target due to intangible amortization. Post-transformation 2-year revenue CAGR of approximately 2% (2023 $2.75B to 2025 $2.86B) is below the 10% target. Liquidity: 1.7M avg volume x $142.11 = $241M daily dollar volume, well above the $1M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Revvity under CEO Prahlad Singh demonstrates genuine infinite game thinking through the bold PerkinElmer-to-Revvity transformation — divesting profitable but misaligned businesses and abandoning the 85-year-old PerkinElmer brand to focus exclusively on health sciences. This willingness to sacrifice near-term revenue and brand equity in service of a clearer purpose reflects deeply infinite thinking. However, mixed employee sentiment (Glassdoor reviews citing layoffs and cultural challenges) and the absence of competitive humility toward worthy rivals limit the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'Expand the boundaries of human potential through science' is a genuine, distinctive purpose validated by the strategic decision to divest profitable non-health businesses and concentrate resources on diagnostics and life sciences [1]. The ongoing divestiture of China immunodiagnostics (approximately 6% of 2025 revenue) further demonstrates capital allocation discipline in service of the cause. However, the cause is only three years old in its current form, has survived no major crisis or leadership transition, and has not proven itself across multiple market cycles.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Prahlad Singh has led since 2019 and shepherded the company through the PerkinElmer-to-Revvity transformation, providing leadership continuity through massive organizational change [2]. Stable leadership team maintained through multiple divestitures. However, Glassdoor reviews reveal uneven cultural experience — while some employees praise a 'values-driven culture grounded in empathy and collaboration,' others cite 'constant layoffs,' 'low pay, high stress,' and leadership challenges, suggesting trust varies significantly across the organization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Revvity competes against Danaher, Thermo Fisher Scientific, and Roche Diagnostics — significantly larger rivals whose scale and capabilities push Revvity to innovate in AI-driven diagnostics and genetic screening [1]. Management's competitive language focuses on differentiation through purpose and technology (AI platforms, neonatal screening leadership) rather than market share warfare. The strategic positioning emphasizes filling gaps competitors miss rather than directly challenging their core franchises.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Revvity executed a textbook existential pivot — divesting the legacy PerkinElmer food testing, industrial, and enterprise businesses, rebranding entirely, and repositioning as a focused health sciences company [1]. This is comparable to the transformative pivots Sinek celebrates: abandoning a working business model and an 85-year-old brand name in service of a clearer cause. The ongoing China divestiture extends this pattern. The transformation was driven by purpose rather than desperation, as PerkinElmer was a profitable, stable company before the pivot.</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divestiture of PerkinElmer's food testing business for approximately $2.3B, complete corporate rebrand, and ongoing divestiture of China immunodiagnostics demonstrate willingness to sacrifice near-term earnings and brand equity for long-term mission alignment [1]. This required abandoning the 85-year-old PerkinElmer name and accepting significant near-term disruption. Raising full-year 2026 guidance to $5.30-$5.40 adjusted EPS despite the China divestiture headwind shows confidence in the focused strategy [1]. However, no pattern of counter-cyclical investment or principled stances at significant financial cost beyond the core transformation.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Revvity's Q2 2026 showed continued momentum — $730M revenue (4% pro forma growth), adjusted EPS of $1.41, and management raising full-year 2026 guidance to $2.83-$2.86B revenue with 4-5% organic growth and $5.30-$5.40 adjusted EPS [1]. The stock has risen 23% from $115 to $142 as the pharma/biotech recovery accelerates, and a Forward PEG of 0.73 suggests attractive growth-adjusted valuation. The balance sheet is clean (D/E 46.2%) and free cash flow conversion remains strong at approximately 97%. The Signals software ecosystem expansion with AI platforms (Xynthetica, BioDesign, LabGistics acquired via Virtyx Technologies) positions Revvity at the intersection of life sciences and AI-driven discovery [2]. Inspire score of +57 with zero negative attributions provides strong faith-alignment support [3].</w:t>
      </w:r>
    </w:p>
    <w:p>
      <w:pPr>
        <w:spacing w:after="120"/>
      </w:pPr>
      <w:r>
        <w:rPr>
          <w:rFonts w:ascii="Calibri" w:hAnsi="Calibri"/>
          <w:b w:val="0"/>
          <w:color w:val="3A4A28"/>
          <w:sz w:val="20"/>
        </w:rPr>
        <w:t>The primary concern is valuation relative to organic growth. At 68.65x trailing GAAP P/E and only 1.3% TTM revenue growth, RVTY requires sustained acceleration to justify the premium multiple [4]. GAAP profitability remains structurally challenged — ROE of 3.2% and profit margin of 8.2% reflect $7.5B of goodwill-related amortization from transformation-era acquisitions, creating a persistent gap between adjusted (approximately $5.35 EPS) and reported ($2.07 EPS) earnings. The China immunodiagnostics divestiture creates near-term EPS headwinds despite improving the portfolio focus. AI platform monetization (Xynthetica, BioDesign, LabGistics) is unproven and faces competition from larger players (Thermo Fisher, Danaher, Benchling) with deeper customer relationships in drug discovery workflows [2]. Glassdoor reviews citing constant layoffs and leadership challenges raise questions about whether the transformation is being executed at the expense of employee morale [2]. The stock has rallied significantly, potentially front-running the recovery and limiting near-term upside.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Pharma/biotech spending recovery accelerating with 4-5% organic growth guidance for FY2026, with potential to sustain mid-to-high single-digit organic growth through 2027 as biotech funding normalizes [1]</w:t>
      </w:r>
    </w:p>
    <w:p>
      <w:pPr>
        <w:spacing w:before="40" w:after="40"/>
        <w:ind w:left="283"/>
      </w:pPr>
      <w:r>
        <w:rPr>
          <w:rFonts w:ascii="Calibri" w:hAnsi="Calibri"/>
          <w:b/>
          <w:color w:val="4A6B25"/>
          <w:sz w:val="20"/>
        </w:rPr>
        <w:t xml:space="preserve">2. </w:t>
      </w:r>
      <w:r>
        <w:rPr>
          <w:rFonts w:ascii="Calibri" w:hAnsi="Calibri"/>
          <w:b w:val="0"/>
          <w:color w:val="3A4A28"/>
          <w:sz w:val="20"/>
        </w:rPr>
        <w:t>Adjusted operating margin expansion toward 28%+ FY2026 target, plus China divestiture completion (expected end of 2027) adding margin enhancement and simplifying the portfolio [1]</w:t>
      </w:r>
    </w:p>
    <w:p>
      <w:pPr>
        <w:spacing w:before="40" w:after="40"/>
        <w:ind w:left="283"/>
      </w:pPr>
      <w:r>
        <w:rPr>
          <w:rFonts w:ascii="Calibri" w:hAnsi="Calibri"/>
          <w:b/>
          <w:color w:val="4A6B25"/>
          <w:sz w:val="20"/>
        </w:rPr>
        <w:t xml:space="preserve">3. </w:t>
      </w:r>
      <w:r>
        <w:rPr>
          <w:rFonts w:ascii="Calibri" w:hAnsi="Calibri"/>
          <w:b w:val="0"/>
          <w:color w:val="3A4A28"/>
          <w:sz w:val="20"/>
        </w:rPr>
        <w:t>AI platform launches (Xynthetica, BioDesign, LabGistics) expanding the software-as-a-service revenue mix and creating recurring revenue streams on top of the installed instrument base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GAAP profitability remains structurally depressed (ROE 3.2%, profit margin 8.2%) due to goodwill-heavy balance sheet from transformation-era acquisitions — adjusted-to-GAAP convergence timeline is uncertain and depends on goodwill remaining unimpaired [4]</w:t>
      </w:r>
    </w:p>
    <w:p>
      <w:pPr>
        <w:spacing w:before="40" w:after="40"/>
        <w:ind w:left="283"/>
      </w:pPr>
      <w:r>
        <w:rPr>
          <w:rFonts w:ascii="Calibri" w:hAnsi="Calibri"/>
          <w:b/>
          <w:color w:val="4A6B25"/>
          <w:sz w:val="20"/>
        </w:rPr>
        <w:t xml:space="preserve">2. </w:t>
      </w:r>
      <w:r>
        <w:rPr>
          <w:rFonts w:ascii="Calibri" w:hAnsi="Calibri"/>
          <w:b w:val="0"/>
          <w:color w:val="3A4A28"/>
          <w:sz w:val="20"/>
        </w:rPr>
        <w:t>Organic revenue growth guidance of 4-5% at 68.65x trailing P/E creates significant valuation risk if pharma/biotech recovery plateaus or macroeconomic headwinds slow R&amp;D spending [1]</w:t>
      </w:r>
    </w:p>
    <w:p>
      <w:pPr>
        <w:spacing w:before="40" w:after="40"/>
        <w:ind w:left="283"/>
      </w:pPr>
      <w:r>
        <w:rPr>
          <w:rFonts w:ascii="Calibri" w:hAnsi="Calibri"/>
          <w:b/>
          <w:color w:val="4A6B25"/>
          <w:sz w:val="20"/>
        </w:rPr>
        <w:t xml:space="preserve">3. </w:t>
      </w:r>
      <w:r>
        <w:rPr>
          <w:rFonts w:ascii="Calibri" w:hAnsi="Calibri"/>
          <w:b w:val="0"/>
          <w:color w:val="3A4A28"/>
          <w:sz w:val="20"/>
        </w:rPr>
        <w:t>Mixed employee sentiment with Glassdoor reviews citing constant layoffs and leadership challenges could undermine the cultural foundation needed to execute the health sciences transformation and retain scientific talent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Revvity's core business — diagnostic instruments, reagents, genetic screening consumables, and neonatal screening services — involves physical-world products and highly regulated clinical workflows that AI structurally cannot replace [1]. FDA/CE-marked diagnostic assays require extensive clinical validation, physical sample processing, and reagent chemistry that AI cannot substitute. Lab instruments (mass spectrometers, plate readers, automated liquid handling) demand hardware manufacturing capabilities beyond AI's reach. AI enhances data interpretation but cannot displace the underlying physical testing infrastructure. Pharma/biotech customers reported organic growth recovery with AI-enhanced discovery tools expanding Revvity's addressable market rather than cannibalizing it [1]. AI Opportunity (1/1): Xynthetica (AI-models-as-a-service), BioDesign (cloud-native molecular design for biologics), and the Virtyx Technologies acquisition represent concrete AI product development streams targeting the drug discovery workflow, building new revenue opportunities on top of the existing instrument and reagent platform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Revvity Q1 and Q2 2026 Financial Results — Q1 $711M (+7%), Q2 $730M (+4%), Full-Year Guidance Raised to $2.83-$2.86B Revenue, $5.30-$5.40 Adj EPS, Revvity IR / Globe and Mail, 2026</w:t>
      </w:r>
    </w:p>
    <w:p>
      <w:pPr>
        <w:spacing w:before="20" w:after="20"/>
        <w:ind w:left="170"/>
      </w:pPr>
      <w:r>
        <w:rPr>
          <w:rFonts w:ascii="Calibri" w:hAnsi="Calibri"/>
          <w:b/>
          <w:color w:val="4A6B25"/>
          <w:sz w:val="15"/>
        </w:rPr>
        <w:t xml:space="preserve">2. </w:t>
      </w:r>
      <w:r>
        <w:rPr>
          <w:rFonts w:ascii="Calibri" w:hAnsi="Calibri"/>
          <w:b w:val="0"/>
          <w:color w:val="3A4A28"/>
          <w:sz w:val="17"/>
        </w:rPr>
        <w:t>Revvity AI Strategy, Virtyx Acquisition, and Glassdoor Employee Reviews — Xynthetica, BioDesign, LabGistics Platforms; Mixed Employee Sentiment; Leadership Under Prahlad Singh, 2024-2026</w:t>
      </w:r>
    </w:p>
    <w:p>
      <w:pPr>
        <w:spacing w:before="20" w:after="20"/>
        <w:ind w:left="170"/>
      </w:pPr>
      <w:r>
        <w:rPr>
          <w:rFonts w:ascii="Calibri" w:hAnsi="Calibri"/>
          <w:b/>
          <w:color w:val="4A6B25"/>
          <w:sz w:val="15"/>
        </w:rPr>
        <w:t xml:space="preserve">3. </w:t>
      </w:r>
      <w:r>
        <w:rPr>
          <w:rFonts w:ascii="Calibri" w:hAnsi="Calibri"/>
          <w:b w:val="0"/>
          <w:color w:val="3A4A28"/>
          <w:sz w:val="17"/>
        </w:rPr>
        <w:t>Revvity ESG Report and Sustainability — Inaugural 2023 ESG Report, 50% Scope 1/2 GHG Reduction by 2033, SBTi Targets, UN Global Compact, 2023-2026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RVTY Key Statistics: Stock Price $142.11, Forward P/E 24.12, PEG 0.73, D/E 46.2%, ROE 3.2%, Profit Margin 8.2%, Avg Volume 1.7M,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