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RXT</w:t>
      </w:r>
      <w:r>
        <w:rPr>
          <w:rFonts w:ascii="Calibri" w:hAnsi="Calibri"/>
          <w:b/>
          <w:color w:val="1A2010"/>
          <w:sz w:val="40"/>
        </w:rPr>
        <w:t xml:space="preserve">  Rackspace Technology, Inc.</w:t>
      </w:r>
    </w:p>
    <w:p>
      <w:pPr>
        <w:spacing w:after="120"/>
      </w:pPr>
      <w:r>
        <w:rPr>
          <w:rFonts w:ascii="Calibri" w:hAnsi="Calibri"/>
          <w:b/>
          <w:color w:val="6E8450"/>
          <w:sz w:val="18"/>
        </w:rPr>
        <w:t>GROWTH SLEEVE · 2026-10-02 · Inspire: -49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Infrastructure · NMS · United States</w:t>
      </w:r>
    </w:p>
    <w:p>
      <w:pPr>
        <w:spacing w:after="80"/>
      </w:pPr>
      <w:r>
        <w:rPr>
          <w:rFonts w:ascii="Calibri" w:hAnsi="Calibri"/>
          <w:b w:val="0"/>
          <w:color w:val="3A4A28"/>
          <w:sz w:val="20"/>
        </w:rPr>
        <w:t>Rackspace Technology is a hybrid cloud and AI solutions company operating through Public Cloud and Private Cloud segments. Under new CEO Gajen Kandiah (appointed September 2025), the company is pivoting toward an AI-first multicloud strategy. Q2 2026 revenue was $670M (+0.6% YoY) with Public Cloud at $407M and Private Cloud at $264M. FY2026 guidance is $2.6-2.7B total revenue with $160-170M non-GAAP operating profit. The company carries $3.31B in debt against a $1.0B market cap, reflecting the legacy of its 2016 Apollo Global Management leveraged buyout. A securities class action lawsuit was filed in September 2026 alleging misleading statements about the AI strategy's financial impact.</w:t>
      </w:r>
    </w:p>
    <w:p>
      <w:r>
        <w:rPr>
          <w:rFonts w:ascii="Calibri" w:hAnsi="Calibri"/>
          <w:b/>
          <w:color w:val="6E8450"/>
          <w:sz w:val="18"/>
        </w:rPr>
        <w:t>5,000 Employees · https://www.rackspace.com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Rackspace's core managed hosting and public cloud business has been declining as hyperscalers (AWS, Azure, GCP) disintermediate managed service providers [1]. Revenue contracted from ~$3.0B in 2021 to $2.70B TTM, and Q2 2026 showed only 0.6% YoY growth. The company has attempted multiple strategic pivots — managed hosting to multicloud to AI-first — without successfully reversing the decline. AI Deployment (1/2): Rackspace offers 'Rackspace AI,' a portfolio of AI services helping enterprises deploy and manage AI workloads. The company raised $250M through an ATM equity offering dedicated to GPU infrastructure initiatives [1]. However, no specific AI revenue figures or quantified customer deployments have been disclosed. Market Share (0/2): Rackspace has been consistently losing share in managed cloud services as enterprises move workloads directly to hyperscalers. Not a category leader in any cloud or AI infrastructure segment. Product Pipeline (1/2): The AI-first multicloud strategy under CEO Kandiah targets GPU computing for regulated industries and sovereign markets, with $250M dedicated to GPU infrastructure, but specific product timelines and revenue visibility remain vague beyond consulting engagements [2]. R&amp;D Intensity (0/1): No evidence of above-average R&amp;D spending relative to IT services peers; focus has been on cost restructuring rather than R&amp;D investment.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Rackspace's historical identity centered on 'Fanatical Support' — a customer-centric service philosophy that differentiated it from commodity hosting providers [2]. While once clear and distinctive, this purpose has eroded through multiple ownership transitions (Dell, Apollo LBO, re-IPO), three CEO changes in four years, and a strategic pivot away from the managed hosting model that made 'Fanatical Support' meaningful. New CEO Kandiah references 'Racker culture' but the current AI-first strategy lacks a comparably articulated purpose. Community Impact (0/2): Rackspace published sustainability reports and targets net-zero by 2045, but no specific charitable programs or community investment with dollar amounts were identified beyond standard ESG reporting [3]. Employee Retention (0/2): Significant workforce reductions from approximately 12,000 to 5,000 employees under private equity ownership. Multiple CEO transitions create organizational instability [2]. No retention or tenure data identified. Insider Buying (0/2): No evidence of meaningful net insider buying. The $250M ATM equity offering is dilutive to existing shareholders.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Rackspace's financial position is severely distressed by the 2016 Apollo LBO debt. Negative stockholders' equity (book value -$5.09) means D/E and ROE are both incalculable — effectively at or beyond floor levels (score 0.0 on both, with ROE at 2x weight) [1]. Profit margin of -5.9% is below the 0% floor (score 0.0). The only positive contributions come from Forward P/E of 29.5x (score 0.76 between the 60x floor and 20x target), revenue growth YoY of 0.6% (score 0.69), and 5yr revenue CAGR of approximately -2% (score 0.20, 2x weight). PEG of 4.93 exceeds the 3.0 floor (score 0.0, 2x weight). The company carries $3.31B debt against only $110.6M cash, creating existential leverage risk on a $1.0B market cap [1]. Daily dollar volume of $38.9M provides adequate liquidity. Q1 2026 net income of $8M versus Q1 2025 net loss of $72M shows incremental improvement, but the trajectory remains deeply challenged.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Rackspace exhibits classic finite-game characteristics. The company has been through a leveraged buyout cycle (Apollo Global Management), re-IPO, three CEO changes in four years, and recurring strategic pivots driven by financial pressure rather than purpose. The $3.31B debt load from the 2016 LBO constrains every strategic decision and forces short-term optimization. The AI pivot, while potentially transformative, is motivated by survival necessity rather than a Just Cause. The company's identity — once built on 'Fanatical Support' — has been hollowed out by financial engineering and leadership instability. A September 2026 securities class action alleging misleading AI strategy statements further demonstrates finite-game behavior.</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Rackspace lacks an articulated Just Cause [2]. The historical 'Fanatical Support' identity was a genuine differentiator in the managed hosting era but has been eroded by private equity ownership, multiple CEO transitions, declining core revenue, and a strategic pivot away from the service model that made it meaningful. The current strategy ('AI-first multicloud') describes what the company does, not why it exists. No vision of a better future beyond financial recovery has been articulated by leadership. The September 2026 securities class action alleging misleading AI strategy statements reveals a company managing investor perception rather than pursuing a cause [4].</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Rackspace's organizational environment shows hallmarks of low trust [2]. Three CEO changes in four years create instability that undermines psychological safety. Workforce reductions from ~12,000 to ~5,000 employees under private equity ownership have dramatically eroded the 'Racker culture.' The $250M dilutive equity offering prioritizes growth capital over organizational stability. While new CEO Kandiah references 'Racker culture and unwavering dedication to customer success,' frequent leadership turnover and private equity incentive structures are antithetical to Sinek's Circle of Safety model.</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Rackspace's competitive positioning versus hyperscalers (AWS, Azure, GCP) does not demonstrate the worthy rival mindset [1]. The company positions itself as serving niches the hyperscalers cannot reach (regulated industries, sovereign markets) rather than acknowledging competitors' strengths as motivation for self-improvement. The strategic narrative frames the competitive environment as a threat to be avoided rather than a challenge that drives 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pivot from managed hosting and public cloud toward AI infrastructure for regulated industries represents genuine strategic flexibility — the company is entering a substantially different market (GPU computing, enterprise AI) that leverages data center expertise but targets new customers and workloads [1]. The $250M GPU investment is a tangible commitment. However, the pivot is driven by necessity (core revenue declining) rather than proactive cause-driven transformation, and the company has not abandoned its declining legacy business — it is layering AI on top without making a clean strategic break.</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Rackspace's strategic decisions have been reactive to financial pressure rather than proactive long-term investments [1]. The Apollo LBO loaded the company with $3.31B in debt that constrains every strategic decision. The AI pivot and $250M ATM offering are survival moves, not courageous bets from a position of strength. The securities class action alleging misleading AI strategy statements suggests leadership prioritized investor perception management over transparent long-term positioning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Rackspace at $4.01 per share represents a high-risk speculative bet on an AI infrastructure pivot by a financially distressed company [1][2]. Q1 2026 net income of $8M versus Q1 2025 net loss of $72M shows incremental profitability improvement, and FY2026 guidance of $2.6-2.7B revenue with $160-170M non-GAAP operating profit suggests the business is stabilizing. The $250M GPU infrastructure investment targets a genuine market opportunity in AI computing for regulated industries where data residency and compliance requirements limit hyperscaler adoption. New CEO Gajen Kandiah brings proven enterprise technology scaling experience from Hitachi Digital and Cognizant, and his AI-first priorities align with market direction. Private Cloud revenue grew 5.5% in Q1 as AI workloads drive demand for dedicated infrastructure.</w:t>
      </w:r>
    </w:p>
    <w:p>
      <w:pPr>
        <w:spacing w:after="120"/>
      </w:pPr>
      <w:r>
        <w:rPr>
          <w:rFonts w:ascii="Calibri" w:hAnsi="Calibri"/>
          <w:b w:val="0"/>
          <w:color w:val="3A4A28"/>
          <w:sz w:val="20"/>
        </w:rPr>
        <w:t>The bear case is severe and multidimensional. The $3.31B debt load from the 2016 Apollo LBO against only $110.6M cash creates existential leverage risk on a $1.0B market cap company — total enterprise value of $4.18B implies investors must believe in a dramatic recovery to justify the equity [1]. Revenue has contracted from $3.0B to $2.7B over five years with only 0.6% YoY growth in Q2 2026, and the 5yr CAGR of -2% demonstrates structural decline. Negative stockholders' equity means the company technically owes more than it owns. A September 2026 securities class action lawsuit alleges Rackspace misled investors by 'understating the financial impact of its AI strategy, declining Public Cloud business, and reduced infrastructure resale revenue,' adding legal and credibility risk [4]. A 2024 data breach linked to a zero-day vulnerability raises cybersecurity concerns for a company selling cloud security services [3]. Three CEO changes in four years, workforce cuts from 12,000 to 5,000, and PEG of 4.93 all signal a company fighting for survival rather than building for the future. The Inspire Impact Score of -49 (MISALIGNED) limits faith-based investor allocation.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GPU infrastructure buildout from $250M ATM offering could generate meaningful AI revenue if Rackspace captures enterprise demand from regulated industries and sovereign markets that cannot use hyperscaler public cloud due to data residency and compliance requirements [1]</w:t>
      </w:r>
    </w:p>
    <w:p>
      <w:pPr>
        <w:spacing w:before="40" w:after="40"/>
        <w:ind w:left="283"/>
      </w:pPr>
      <w:r>
        <w:rPr>
          <w:rFonts w:ascii="Calibri" w:hAnsi="Calibri"/>
          <w:b/>
          <w:color w:val="4A6B25"/>
          <w:sz w:val="20"/>
        </w:rPr>
        <w:t xml:space="preserve">2. </w:t>
      </w:r>
      <w:r>
        <w:rPr>
          <w:rFonts w:ascii="Calibri" w:hAnsi="Calibri"/>
          <w:b w:val="0"/>
          <w:color w:val="3A4A28"/>
          <w:sz w:val="20"/>
        </w:rPr>
        <w:t>CEO Gajen Kandiah's proven track record scaling enterprise technology businesses (Cognizant revenue from $368M to $16B+, Hitachi Digital AI integration) could accelerate the AI pivot with operational discipline [2]</w:t>
      </w:r>
    </w:p>
    <w:p>
      <w:pPr>
        <w:spacing w:before="40" w:after="40"/>
        <w:ind w:left="283"/>
      </w:pPr>
      <w:r>
        <w:rPr>
          <w:rFonts w:ascii="Calibri" w:hAnsi="Calibri"/>
          <w:b/>
          <w:color w:val="4A6B25"/>
          <w:sz w:val="20"/>
        </w:rPr>
        <w:t xml:space="preserve">3. </w:t>
      </w:r>
      <w:r>
        <w:rPr>
          <w:rFonts w:ascii="Calibri" w:hAnsi="Calibri"/>
          <w:b w:val="0"/>
          <w:color w:val="3A4A28"/>
          <w:sz w:val="20"/>
        </w:rPr>
        <w:t>Q1 2026 return to profitability ($8M net income vs -$72M loss YoY) suggests the turnaround is gaining traction, and FY2026 non-GAAP operating profit guidance of $160-170M could support deleveraging if sustained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The $3.31B debt load from the Apollo LBO against $110.6M cash creates existential refinancing risk — negative stockholders' equity (book value -$5.09) means the company technically owes more than it owns, and any disruption to cash flow could trigger covenant violations [1]</w:t>
      </w:r>
    </w:p>
    <w:p>
      <w:pPr>
        <w:spacing w:before="40" w:after="40"/>
        <w:ind w:left="283"/>
      </w:pPr>
      <w:r>
        <w:rPr>
          <w:rFonts w:ascii="Calibri" w:hAnsi="Calibri"/>
          <w:b/>
          <w:color w:val="4A6B25"/>
          <w:sz w:val="20"/>
        </w:rPr>
        <w:t xml:space="preserve">2. </w:t>
      </w:r>
      <w:r>
        <w:rPr>
          <w:rFonts w:ascii="Calibri" w:hAnsi="Calibri"/>
          <w:b w:val="0"/>
          <w:color w:val="3A4A28"/>
          <w:sz w:val="20"/>
        </w:rPr>
        <w:t>Securities class action lawsuit filed September 2026 alleging Rackspace misled investors about its AI strategy impact, declining Public Cloud business, and reduced infrastructure resale revenue — adding legal costs, management distraction, and credibility risk [4]</w:t>
      </w:r>
    </w:p>
    <w:p>
      <w:pPr>
        <w:spacing w:before="40" w:after="40"/>
        <w:ind w:left="283"/>
      </w:pPr>
      <w:r>
        <w:rPr>
          <w:rFonts w:ascii="Calibri" w:hAnsi="Calibri"/>
          <w:b/>
          <w:color w:val="4A6B25"/>
          <w:sz w:val="20"/>
        </w:rPr>
        <w:t xml:space="preserve">3. </w:t>
      </w:r>
      <w:r>
        <w:rPr>
          <w:rFonts w:ascii="Calibri" w:hAnsi="Calibri"/>
          <w:b w:val="0"/>
          <w:color w:val="3A4A28"/>
          <w:sz w:val="20"/>
        </w:rPr>
        <w:t>Core managed cloud revenue is in structural decline as hyperscalers integrate AI-powered automation directly into their platforms — revenue has contracted from $3.0B to $2.7B over 5 years while competitors invest 100x+ more in AI infrastructure annually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(4/9): Rackspace's core managed cloud services business faces significant AI disruption risk [1]. AI-powered DevOps and cloud management tools (AWS AI-native services, Microsoft Copilot for Azure, Google Cloud AI) are reducing enterprise dependency on managed service providers by automating provisioning, monitoring, and optimization tasks that were Rackspace's value proposition. Hyperscalers are integrating AI directly into their platforms, further disintermediating managed hosting providers. CEO Kandiah acknowledged that AI forecasts about code generation 'did not hold,' but the direction of AI-powered cloud automation is clear and threatens the managed services model. Rackspace is attempting to reposition as an AI infrastructure provider for regulated industries and sovereign markets where data residency requirements limit hyperscaler adoption — this partially protects the business but the pivot is early-stage and unproven [2]. AI Opportunity (1/1): Rackspace is investing $250M in GPU infrastructure and actively building AI solutions for enterprise customers. The company offers Rackspace AI as a portfolio of services helping organizations scale AI workloads, and CEO Kandiah's strategic priorities explicitly center on AI infrastructure for regulated industries [1][2]. While specific AI revenue figures were not disclosed, the company is generating early revenue from AI consulting and infrastructure services.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Systemic Risk Mitigation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Rackspace Technology Q1-Q2 2026 Earnings — Q1 Revenue $678M (+2% YoY), Q2 Revenue $670M (+0.6%), FY2026 Guidance $2.6-2.7B, $250M ATM GPU Offering, Net Income $8M in Q1 — SEC Filings, GuruFocus, Seeking Alpha, 2026</w:t>
      </w:r>
    </w:p>
    <w:p>
      <w:pPr>
        <w:spacing w:before="20" w:after="20"/>
        <w:ind w:left="170"/>
      </w:pPr>
      <w:r>
        <w:rPr>
          <w:rFonts w:ascii="Calibri" w:hAnsi="Calibri"/>
          <w:b/>
          <w:color w:val="4A6B25"/>
          <w:sz w:val="15"/>
        </w:rPr>
        <w:t xml:space="preserve">2. </w:t>
      </w:r>
      <w:r>
        <w:rPr>
          <w:rFonts w:ascii="Calibri" w:hAnsi="Calibri"/>
          <w:b w:val="0"/>
          <w:color w:val="3A4A28"/>
          <w:sz w:val="17"/>
        </w:rPr>
        <w:t>Rackspace Technology CEO Appointment — Gajen Kandiah Named CEO September 2025, AI-First Multicloud Strategy, Hitachi/Cognizant Background — Rackspace IR, SDxCentral, San Antonio Report, 2025-2026</w:t>
      </w:r>
    </w:p>
    <w:p>
      <w:pPr>
        <w:spacing w:before="20" w:after="20"/>
        <w:ind w:left="170"/>
      </w:pPr>
      <w:r>
        <w:rPr>
          <w:rFonts w:ascii="Calibri" w:hAnsi="Calibri"/>
          <w:b/>
          <w:color w:val="4A6B25"/>
          <w:sz w:val="15"/>
        </w:rPr>
        <w:t xml:space="preserve">3. </w:t>
      </w:r>
      <w:r>
        <w:rPr>
          <w:rFonts w:ascii="Calibri" w:hAnsi="Calibri"/>
          <w:b w:val="0"/>
          <w:color w:val="3A4A28"/>
          <w:sz w:val="17"/>
        </w:rPr>
        <w:t>Rackspace Technology ESG and Security — Sustainalytics ESG Score 22, Net-Zero by 2045 Target, 2024 Data Breach via Zero-Day Vulnerability — Yahoo Finance, Arctic Wolf, Sustainable Tech Partner, 2024-2026</w:t>
      </w:r>
    </w:p>
    <w:p>
      <w:pPr>
        <w:spacing w:before="20" w:after="20"/>
        <w:ind w:left="170"/>
      </w:pPr>
      <w:r>
        <w:rPr>
          <w:rFonts w:ascii="Calibri" w:hAnsi="Calibri"/>
          <w:b/>
          <w:color w:val="4A6B25"/>
          <w:sz w:val="15"/>
        </w:rPr>
        <w:t xml:space="preserve">4. </w:t>
      </w:r>
      <w:r>
        <w:rPr>
          <w:rFonts w:ascii="Calibri" w:hAnsi="Calibri"/>
          <w:b w:val="0"/>
          <w:color w:val="3A4A28"/>
          <w:sz w:val="17"/>
        </w:rPr>
        <w:t>Rackspace Securities Class Action — Faruqi &amp; Faruqi and Levi &amp; Korsinsky lawsuits alleging misleading AI strategy statements, deadline September 28, 2026 — Morningstar, GlobeNewsWire, Stockhouse,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