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RYAM</w:t>
      </w:r>
      <w:r>
        <w:rPr>
          <w:rFonts w:ascii="Calibri" w:hAnsi="Calibri"/>
          <w:b/>
          <w:color w:val="1A2010"/>
          <w:sz w:val="40"/>
        </w:rPr>
        <w:t xml:space="preserve">  Rayonier Advanced Materials Inc.</w:t>
      </w:r>
    </w:p>
    <w:p>
      <w:pPr>
        <w:spacing w:after="120"/>
      </w:pPr>
      <w:r>
        <w:rPr>
          <w:rFonts w:ascii="Calibri" w:hAnsi="Calibri"/>
          <w:b/>
          <w:color w:val="6E8450"/>
          <w:sz w:val="18"/>
        </w:rPr>
        <w:t>GROWTH SLEEVE · 2026-09-30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Chemicals · NYSE · United States</w:t>
      </w:r>
    </w:p>
    <w:p>
      <w:pPr>
        <w:spacing w:after="80"/>
      </w:pPr>
      <w:r>
        <w:rPr>
          <w:rFonts w:ascii="Calibri" w:hAnsi="Calibri"/>
          <w:b w:val="0"/>
          <w:color w:val="3A4A28"/>
          <w:sz w:val="20"/>
        </w:rPr>
        <w:t>Rayonier Advanced Materials manufactures cellulose specialty products and biomaterials through five segments: Cellulose Specialties (high-purity cellulose for LCDs, impact-resistant plastics, pharmaceuticals, cosmetics, cigarette filters), Biomaterials (biofuels, lignosulfonates, prebiotics), Cellulose Commodities (viscose for textiles and wipes), Paperboard (packaging and printing), and High-Yield Pulp. The company is pursuing a 'BioFuture' strategy to transform renewable materials into high-value biomaterial products. Revenue of ~$1.47B with ongoing turnaround effort after years of financial challenges. Founded 1926, headquartered in Jacksonville, Florida.</w:t>
      </w:r>
    </w:p>
    <w:p>
      <w:r>
        <w:rPr>
          <w:rFonts w:ascii="Calibri" w:hAnsi="Calibri"/>
          <w:b/>
          <w:color w:val="6E8450"/>
          <w:sz w:val="18"/>
        </w:rPr>
        <w:t>2,325 Employees · https://ryam.com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RYAM has pursued its 'BioFuture' strategy to shift the business mix toward higher-value cellulose specialties and biomaterials (biofuels, lignosulfonates, prebiotics), representing incremental product extensions rather than transformative business model pivots [1]. The company has invested in high-purity cellulose capabilities serving electronics and pharmaceutical applications, but the core business remains cellulose manufacturing — fundamentally unchanged from five years ago. Revenue has declined from ~$1.8B to ~$1.47B over that period. AI Deployment (0/2): No evidence of AI-powered products, AI strategy, or quantified AI-driven efficiency gains. RYAM's manufacturing operations have not publicly adopted AI in any measurable form [2]. Market Share (1/2): RYAM is one of the world's major producers of cellulose specialties, a niche global market with limited competition. The company holds meaningful positions in high-purity cellulose for electronics and pharmaceutical applications, though the overall market is small and fragmented [1]. Product Pipeline (0/2): The BioFuture strategy outlines directional ambitions in biomaterials but no specific next-generation products with named launch dates or quantified revenue visibility have been announced [3]. R&amp;D Intensity (0/1): No publicly available R&amp;D spending data to demonstrate above-industry-average investment in product development or process innovation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RYAM's stated vision — 'BioFuture: transforming renewable materials into remarkable products to meet the ever-growing global demand for high-performing materials with an attractive sustainability profile' — is clear, connects the company's work to sustainability, and differentiates somewhat from commodity chemical peers by positioning cellulose as a renewable alternative to petrochemicals [3]. However, the vision has not been validated through financial execution, as the company continues to report negative earnings and declining revenue. Community &amp; Charitable Impact (0/2): No specific charitable programs, foundation activities, or community investment initiatives with dollar amounts were identified in public disclosures. The company's sustainability reporting focuses on environmental metrics rather than community impact [3]. Employee Retention (0/2): Glassdoor reviews rate RYAM 3.3/5 on culture but 3.0 on work-life balance, with 68% recommending the company to a friend. Specific employee feedback cites 'awful leadership' and 'very little support from HR regarding grievances,' suggesting meaningful organizational trust issues [2]. No tenure or turnover data available. Insider Buying (0/2): No evidence of meaningful net insider buying by executives. The company's ongoing financial challenges and leadership transitions do not create conditions for insider confidence signals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RYAM's financial profile is deeply stressed: D/E of 374.4% far exceeds the 300% floor (scoring 0), ROE of -49.7% is negative (scoring 0 with 2x weight), and profit margin of -9.6% is negative (scoring 0) [4]. The company reported Q1 2026 net loss of $81.6M (-$1.22 EPS), though Q2 improved significantly with revenue of $376M (+11% YoY) and adjusted EBITDA of $40M [1]. The forward P/E of 7.0x is attractive if the turnaround materializes, scoring well (1.0 with 1x weight). Revenue growth YoY of 10.6% just exceeds the 10% target (scoring 1.0 with 1x weight). However, the 5-year revenue CAGR of approximately -3.9% reflects the multi-year revenue decline from ~$1.8B (scoring 0.07 with 2x weight). The forward PEG of 2.63 scores 0.185 (with 2x weight). The stock clears the liquidity floor at ~$7.0M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RYAM exhibits predominantly finite game characteristics. The company is in survival mode — managing heavy debt (D/E 374%), negative earnings, and a suspended dividend while attempting a turnaround. While the BioFuture vision articulates a purpose beyond quarterly results, the company's financial distress forces near-term optimization over long-term capability building. Multiple leadership transitions, negative Glassdoor feedback about leadership quality, and no evidence of worthy rival awareness or transformative flexibility indicate a company playing to survive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RYAM's BioFuture vision — transforming renewable materials into remarkable products for a sustainable world — articulates a purpose beyond making money, connecting cellulose manufacturing to the bioeconomy transition [3]. However, the cause reads more as marketing repositioning than a deeply held organizational purpose. It has not been validated through consistent execution: revenue has declined over five years, the dividend was suspended in 2019, and the company reported a $81.6M quarterly loss in Q1 2026 [1]. Leadership does not consistently reference the BioFuture vision in strategic decision-making beyond sustainability reporting.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feedback on Glassdoor reveals a low-trust environment. Reviews specifically cite 'awful leadership,' 'very little support from HR regarding grievances,' and concerns about work-life balance (3.0/5) [2]. Only 68% of employees recommend the company, below average for its peer set. Multiple leadership transitions in recent years — including the appointment of De Lyle Bloomquist as CEO in 2022 — suggest organizational instability. The small 2,325-person workforce in a capital-intensive manufacturing operation creates limited mobility and potential resentment in a turnaround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RYAM frames competition as an opportunity for self-improvement. The cellulose specialties market is niche with limited direct competitors, and management commentary focuses on pricing, volumes, and cost management rather than competitive learning [1]. The company's competitive strategy appears defensive — protecting niche positions rather than improving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RYAM has shown some willingness to evolve its business model, shifting emphasis from commodity cellulose and paperboard toward higher-value cellulose specialties and the BioFuture biomaterials strategy [3]. The development of prebiotics, lignosulfonates, and biofuels from manufacturing byproducts represents entry into adjacent markets. However, the core manufacturing infrastructure remains unchanged — the company still operates the same mills producing the same base products. The evolution has been incremental repositioning rather than transformative reinvention, and the declining revenue trajectory suggests the shift has not yet succeeded.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future capability. The company's financial distress (D/E 374%, negative ROE, negative margins) constrains the ability to invest courageously [4]. The dividend suspension in 2019 was forced by financial necessity, not a strategic choice to redirect capital. Management is focused on achieving positive free cash flow and managing debt — survival-oriented optimization rather than courageous long-term investment [1]. The multiple CEO transitions suggest the board is cycling through leaders seeking near-term turnaround execution rather than investing in visionary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RYAM at 7.0x forward earnings is a deep-value turnaround bet on cellulose specialty products with Q2 2026 showing meaningful momentum — revenue of $376M (+11% YoY), adjusted EBITDA of $40M (up 5x from Q1's $8M), and management targeting positive free cash flow for full-year 2026 [1]. The High Purity Cellulose segment ($301M Q2 sales, $57M EBITDA) serves essential and growing end markets including LCD displays, pharmaceuticals, and food-grade applications. The forward EPS of $1.15 versus a TTM loss of -$2.09 implies a massive earnings inflection if the turnaround holds. At a $541M market cap, any sustained profitability improvement could drive significant upside. The BioFuture strategy in biomaterials (prebiotics, lignosulfonates, biofuels) offers optionality for additional revenue diversification [3].</w:t>
      </w:r>
    </w:p>
    <w:p>
      <w:pPr>
        <w:spacing w:after="120"/>
      </w:pPr>
      <w:r>
        <w:rPr>
          <w:rFonts w:ascii="Calibri" w:hAnsi="Calibri"/>
          <w:b w:val="0"/>
          <w:color w:val="3A4A28"/>
          <w:sz w:val="20"/>
        </w:rPr>
        <w:t>The bear case is existential. D/E of 374% creates severe financial fragility — elevated interest expenses on the heavy debt load consumed a significant portion of operating income even in the improved Q2 [4]. ROE of -49.7% and profit margin of -9.6% indicate the business is not generating adequate returns on its asset base. Revenue has declined from ~$1.8B to ~$1.47B over five years, and Q1 2026's $81.6M net loss (-$1.22/share) demonstrates how quickly results can deteriorate [1]. The dividend has been suspended since 2019 with no resumption timeline. Secular headwinds threaten the Paperboard and Commodity Cellulose segments as digitalization reduces demand for paper products. The $541M market cap limits institutional interest and creates liquidity risk during market stress. Glassdoor reviews citing 'awful leadership' and organizational dysfunction suggest the human capital challenges that frequently derail manufacturing turnarounds [2]. Multiple CEO transitions in recent years introduce strategic inconsistency during a period requiring sustained execution focus.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earnings inflection with adjusted EBITDA of $40M (vs $8M in Q1) and management's positive free cash flow target for full-year 2026, which if achieved would demonstrate the turnaround is gaining traction and could trigger debt reduction and potential dividend reinstatement [1]</w:t>
      </w:r>
    </w:p>
    <w:p>
      <w:pPr>
        <w:spacing w:before="40" w:after="40"/>
        <w:ind w:left="283"/>
      </w:pPr>
      <w:r>
        <w:rPr>
          <w:rFonts w:ascii="Calibri" w:hAnsi="Calibri"/>
          <w:b/>
          <w:color w:val="4A6B25"/>
          <w:sz w:val="20"/>
        </w:rPr>
        <w:t xml:space="preserve">2. </w:t>
      </w:r>
      <w:r>
        <w:rPr>
          <w:rFonts w:ascii="Calibri" w:hAnsi="Calibri"/>
          <w:b w:val="0"/>
          <w:color w:val="3A4A28"/>
          <w:sz w:val="20"/>
        </w:rPr>
        <w:t>High Purity Cellulose pricing recovery and volume growth for electronics and pharmaceutical applications, with Q2 2026 segment EBITDA of $57M on $301M sales demonstrating the margin potential of the specialty product mix shift [1]</w:t>
      </w:r>
    </w:p>
    <w:p>
      <w:pPr>
        <w:spacing w:before="40" w:after="40"/>
        <w:ind w:left="283"/>
      </w:pPr>
      <w:r>
        <w:rPr>
          <w:rFonts w:ascii="Calibri" w:hAnsi="Calibri"/>
          <w:b/>
          <w:color w:val="4A6B25"/>
          <w:sz w:val="20"/>
        </w:rPr>
        <w:t xml:space="preserve">3. </w:t>
      </w:r>
      <w:r>
        <w:rPr>
          <w:rFonts w:ascii="Calibri" w:hAnsi="Calibri"/>
          <w:b w:val="0"/>
          <w:color w:val="3A4A28"/>
          <w:sz w:val="20"/>
        </w:rPr>
        <w:t>BioFuture biomaterials strategy developing revenue streams in prebiotics, lignosulfonates, and biofuels from manufacturing byproducts, which could diversify revenue away from declining commodity cellulose and paperboard segments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balance sheet risk with D/E of 374% and negative ROE of -49.7% — if the turnaround stalls or interest rates remain elevated, the heavy debt burden could force restructuring or dilutive capital raises that would devastate the $8.01 stock price [4]</w:t>
      </w:r>
    </w:p>
    <w:p>
      <w:pPr>
        <w:spacing w:before="40" w:after="40"/>
        <w:ind w:left="283"/>
      </w:pPr>
      <w:r>
        <w:rPr>
          <w:rFonts w:ascii="Calibri" w:hAnsi="Calibri"/>
          <w:b/>
          <w:color w:val="4A6B25"/>
          <w:sz w:val="20"/>
        </w:rPr>
        <w:t xml:space="preserve">2. </w:t>
      </w:r>
      <w:r>
        <w:rPr>
          <w:rFonts w:ascii="Calibri" w:hAnsi="Calibri"/>
          <w:b w:val="0"/>
          <w:color w:val="3A4A28"/>
          <w:sz w:val="20"/>
        </w:rPr>
        <w:t>Revenue decline from ~$1.8B to ~$1.47B over five years with volatile quarterly results (Q1 2026 loss of $81.6M followed by Q2 improvement) suggests structural challenges in commodity cellulose and paperboard that may not be fully offset by specialty product mix improvement [1]</w:t>
      </w:r>
    </w:p>
    <w:p>
      <w:pPr>
        <w:spacing w:before="40" w:after="40"/>
        <w:ind w:left="283"/>
      </w:pPr>
      <w:r>
        <w:rPr>
          <w:rFonts w:ascii="Calibri" w:hAnsi="Calibri"/>
          <w:b/>
          <w:color w:val="4A6B25"/>
          <w:sz w:val="20"/>
        </w:rPr>
        <w:t xml:space="preserve">3. </w:t>
      </w:r>
      <w:r>
        <w:rPr>
          <w:rFonts w:ascii="Calibri" w:hAnsi="Calibri"/>
          <w:b w:val="0"/>
          <w:color w:val="3A4A28"/>
          <w:sz w:val="20"/>
        </w:rPr>
        <w:t>Secular decline in paperboard and commodity cellulose end markets as digitalization reduces demand for paper-based products, combined with potential overcapacity in global dissolving pulp markets that could pressure specialty cellulose pricing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RYAM's core business — manufacturing physical cellulose products from wood pulp — is protected from AI substitution. AI cannot produce cellulose, paperboard, or biomaterials; these require physical manufacturing infrastructure and raw material processing [1]. High-purity cellulose for LCD displays and pharmaceutical applications serves essential physical supply chains. Regulatory requirements for pharmaceutical-grade and food-grade cellulose create additional moats. However, RYAM is not fully immune: the Paperboard and Commodity Cellulose segments face secular pressure from digitalization reducing demand for paper-based products, and AI-driven automation could benefit competitors' manufacturing efficiency without benefiting RYAM's relatively dated production infrastructure. AI Opportunity (0/1): RYAM does not generate revenue from AI-related products or services. The company has no disclosed AI product lines or AI-driven revenue streams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Rayonier Advanced Materials Q1-Q2 2026 Earnings — Q1 Revenue $319M (Net Loss $81.6M, EPS -$1.22), Q2 Revenue $376M (+11% YoY, Adjusted EBITDA $40M), High Purity Cellulose $57M EBITDA, Positive FCF Target FY2026, Investing.com and TradingView, 2026</w:t>
      </w:r>
    </w:p>
    <w:p>
      <w:pPr>
        <w:spacing w:before="20" w:after="20"/>
        <w:ind w:left="170"/>
      </w:pPr>
      <w:r>
        <w:rPr>
          <w:rFonts w:ascii="Calibri" w:hAnsi="Calibri"/>
          <w:b/>
          <w:color w:val="4A6B25"/>
          <w:sz w:val="15"/>
        </w:rPr>
        <w:t xml:space="preserve">2. </w:t>
      </w:r>
      <w:r>
        <w:rPr>
          <w:rFonts w:ascii="Calibri" w:hAnsi="Calibri"/>
          <w:b w:val="0"/>
          <w:color w:val="3A4A28"/>
          <w:sz w:val="17"/>
        </w:rPr>
        <w:t>Rayonier Advanced Materials Leadership and Culture — CEO Succession, Glassdoor 3.3/5 Culture Rating, 68% Recommend, Employee Feedback on Leadership, Comparably and Glassdoor, 2026</w:t>
      </w:r>
    </w:p>
    <w:p>
      <w:pPr>
        <w:spacing w:before="20" w:after="20"/>
        <w:ind w:left="170"/>
      </w:pPr>
      <w:r>
        <w:rPr>
          <w:rFonts w:ascii="Calibri" w:hAnsi="Calibri"/>
          <w:b/>
          <w:color w:val="4A6B25"/>
          <w:sz w:val="15"/>
        </w:rPr>
        <w:t xml:space="preserve">3. </w:t>
      </w:r>
      <w:r>
        <w:rPr>
          <w:rFonts w:ascii="Calibri" w:hAnsi="Calibri"/>
          <w:b w:val="0"/>
          <w:color w:val="3A4A28"/>
          <w:sz w:val="17"/>
        </w:rPr>
        <w:t>Rayonier Advanced Materials ESG and Sustainability — Sustainability Committee 2021, 40% GHG Reduction Target by 2030, BioFuture Strategy, 2022 ESG Progress Update, BusinessWire and RYAM Corporate,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RYAM Key Statistics: Forward P/E 7.0x, ROE -49.7%, D/E 374.4%, Profit Margin -9.6%, PEG 2.63, Stock Price $8.01,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