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RYN</w:t>
      </w:r>
      <w:r>
        <w:rPr>
          <w:rFonts w:ascii="Calibri" w:hAnsi="Calibri"/>
          <w:b/>
          <w:color w:val="1A2010"/>
          <w:sz w:val="40"/>
        </w:rPr>
        <w:t xml:space="preserve">  Rayonier Inc.</w:t>
      </w:r>
    </w:p>
    <w:p>
      <w:pPr>
        <w:spacing w:after="120"/>
      </w:pPr>
      <w:r>
        <w:rPr>
          <w:rFonts w:ascii="Calibri" w:hAnsi="Calibri"/>
          <w:b/>
          <w:color w:val="6E8450"/>
          <w:sz w:val="18"/>
        </w:rPr>
        <w:t>DIVIDEND SLEEVE · 2026-09-04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Timberland · NYSE · United States</w:t>
      </w:r>
    </w:p>
    <w:p>
      <w:pPr>
        <w:spacing w:after="80"/>
      </w:pPr>
      <w:r>
        <w:rPr>
          <w:rFonts w:ascii="Calibri" w:hAnsi="Calibri"/>
          <w:b w:val="0"/>
          <w:color w:val="3A4A28"/>
          <w:sz w:val="20"/>
        </w:rPr>
        <w:t>Rayonier Inc. is the largest timberland real estate investment trust in the United States, owning or managing approximately 4.2 million acres of timberland across 11 states following its January 2026 merger with PotlatchDeltic Corporation. The company operates through Southern Timber, Northwest Timber, Real Estate, and Wood Products segments, with six sawmills and an industrial-grade plywood mill producing lumber and related products. Rayonier's land-based solutions business supports climate change mitigation through carbon sequestration and renewable energy projects. Headquartered in Wildlight, Florida. Market cap approximately $6.6B.</w:t>
      </w:r>
    </w:p>
    <w:p>
      <w:r>
        <w:rPr>
          <w:rFonts w:ascii="Calibri" w:hAnsi="Calibri"/>
          <w:b/>
          <w:color w:val="6E8450"/>
          <w:sz w:val="18"/>
        </w:rPr>
        <w:t>2,500 Employees · https://www.rayonier.com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Rayonier executed two transformative transactions in 2025-2026 that fundamentally reshaped the company — the $710M sale of New Zealand operations in June 2025 (exiting international timberlands) and the merger with PotlatchDeltic Corporation completed January 2026, creating the largest US-focused timberland REIT with 4.2 million acres and six wood products manufacturing facilities [1][3]. These represent genuinely strategic moves that redefined the company's scope and competitive position. AI Deployment (0/2): No evidence of AI deployment or AI-powered products. Timber harvesting, forest management, and wood products manufacturing are traditional physical operations with no reported AI integration [4]. Market Share (2/2): Following the PotlatchDeltic merger, Rayonier is now the largest pure-play timberland REIT in the United States with approximately 4.2M acres across 11 states, surpassing Weyerhaeuser in pure timberland acreage [3]. This category leadership position is a direct result of the merger strategy. Product Pipeline (1/2): Six wood products manufacturing facilities targeting 1 billion+ board-feet of lumber shipments in 2026, and the land-based solutions business is expanding carbon sequestration and renewable energy siting [3]. Q2 2026 Real Estate segment delivered strong results. But these are existing operations, not next-generation products. R&amp;D Intensity (0/1): R&amp;D spending is minimal for a timberland REIT — the business is asset management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Rayonier's stated purpose emphasizes 'responsible stewardship' of forest ecosystems, including wildlife, soils, and water, 'for both current and future generations' [4]. The company has committed to The Climate Pledge (net-zero by 2040), maintains third-party forest certification (SFI, FSC, PEFC) across its timberlands, and has developed a land-based solutions business explicitly addressing climate change through carbon sequestration. This is specific, thoughtful, and genuinely connects the company's work to environmental sustainability. Community Impact (1/2): Rayonier's sustainability commitments include third-party forest certification, environmental risk mitigation, and land-based solutions for climate change. The company publishes comprehensive sustainability reports and has embedded environmental responsibility into its business model [4]. These are genuine but primarily business-integrated rather than separate charitable investments with specific dollar amounts. Employee Retention (1/2): Former CEO Dave Nunes served for a decade (2014-2023), championing 'the empowerment of employees and allowing all of them to take ownership and responsibility in decision-making processes' [5]. The succession to Mark McHugh was smooth and planned, suggesting organizational stability and trust at the leadership level. Insider Buying (0/2): No evidence of meaningful net insider buying by current executives in the last 12 months. Former CEO Nunes was a net seller ($9.5M sold vs. $2.1M purchased over tenure).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(5yr revenue CAGR excluded — unavailable due to merger). D/E of 39% is well below the 70% target, reflecting a conservatively leveraged balance sheet post-merger restructuring [2]. ROE of 1.83% is very low, dragged by the enlarged equity base and Q1 2026 merger integration costs, though Q2 2026 showed improvement with $124M adjusted EBITDA [1][2]. Revenue growth YoY is distorted by the PotlatchDeltic merger — Q2 2026 revenue of $396.5M was up 272% from the pre-merger Q2 2025, with H1 2026 cash available for distribution reaching $177M vs. $47M a year earlier [1]. Forward PE of 43.79x is elevated for a REIT but improved from Q1's 49.6x as earnings normalize. Operating profit margin of 18.06% approaches the 20% target (Q2 showed gross profit of $75.7M and operating profit of $34.6M, a significant recovery from Q1's net loss) [1]. Dividend payout ratio of 44.72% (AFFO-based, appropriate for REIT evaluation) is sustainable, with 32 consecutive years of dividend payments since 1994, though consecutive years of growth is limited to ~3 and 5yr dividend growth CAGR of ~2% barely exceeds inflation [5]. Liquidity floor cleared: 2.5M avg volume × $21.92 = ~$54.8M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Rayonier demonstrates meaningful infinite game characteristics grounded in its stewardship-oriented purpose and multi-generational land management perspective. Timber REITs are inherently long-term businesses — trees take 25-30 years to mature for harvest, requiring patient capital allocation and intergenerational thinking. The company's commitment to The Climate Pledge, third-party forest certification, and land-based solutions for climate mitigation reflect a purpose beyond quarterly earnings. The PotlatchDeltic merger of equals shows strategic ambition to build an enduring industry leader, though execution risk and the financial rationale behind the transactions temper the infinite game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Rayonier's purpose of responsible forest stewardship 'for both current and future generations' is genuine and connects to the larger cause of environmental sustainability and intergenerational resource management [4]. The company has operated in the timber industry for over 90 years, and the inherent time horizon of forestry (25-30 year growth cycles) naturally aligns with infinite game thinking. Commitment to The Climate Pledge and development of a land-based solutions business demonstrate purpose-driven business evolution. However, the purpose hasn't been tested through a truly existential crisis, and the strategic pivots (NZ sale, PotlatchDeltic merger) were driven more by market positioning than by advancing the stewardship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Mark McHugh and Executive Chairman Eric Cremers provide leadership continuity from both legacy organizations following the merger of equals [3]. Former CEO Dave Nunes served for a decade and built a culture championing employee empowerment and decision-making ownership [5]. The succession to McHugh was smooth and well-planned, demonstrating organizational stability. The merger of equals structure — rather than a hostile takeover — signals respect for both organizational cultures. However, merging two corporate cultures, management teams, and operating philosophies creates trust-building demands still in progress, and no specific employee retention or cultural survey data is available for the combined entity.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Rayonier's decision to merge with PotlatchDeltic — its closest publicly traded timberland peer — rather than compete to destroy it demonstrates an infinite game approach to competition [3]. The merger was structured as a 'merger of equals,' language reflecting mutual respect rather than conquest. The combined entity's competitive posture emphasizes responsible stewardship and long-term value creation, framing competition with Weyerhaeuser and other timberland owners as a catalyst for improving forest management practices and operational efficiency rather than a zero-sum market share battle.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Rayonier demonstrated significant strategic flexibility in 2025-2026 — selling its entire New Zealand operations for $710M to exit international timberlands, then merging with PotlatchDeltic to create the largest US-focused timberland REIT [3]. These are meaningful strategic pivots that fundamentally reshaped the company's geographic footprint and operational scope, adding vertical integration into wood products manufacturing. The development of land-based solutions for carbon sequestration represents business model evolution. However, these moves are within the timber/land management domain — the company has not made a transformative leap into an entirely different business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sell New Zealand operations for $710M and execute the PotlatchDeltic merger required significant leadership conviction — divesting a longstanding international business to concentrate on the US market, and betting the company's future on a transformative combination during a period of housing market uncertainty and rising interest rates [3]. These are consequential, irreversible strategic decisions. The Climate Pledge commitment represents investment in long-term capabilities with uncertain near-term returns [4]. However, the NZ sale was partly driven by simplification logic and the merger by financial synergies — these are strategically sound decisions rather than courageous against-the-grain bets that sacrifice near-term performance for the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Rayonier is the largest US-focused timberland REIT with 4.2 million acres following the January 2026 PotlatchDeltic merger, creating a vertically integrated platform combining timber harvesting, six sawmills, a plywood mill, real estate development, and land-based carbon solutions [3]. Q2 2026 showed strong post-merger execution with $396.5M revenue, $124M adjusted EBITDA, and H1 2026 cash available for distribution of $177M — up from $47M a year earlier [1]. The 6.48% dividend yield is supported by a sustainable 44.7% AFFO-based payout ratio and a conservative D/E of 39% [2]. The stock trades at ~$6.6B market cap, a modest premium to timber asset NAV, with optionality from carbon sequestration credits on 4.2M acres, merger synergies targeting $75-100M in annualized EBITDA, and AI-driven data center construction demand for lumber. The Inspire Impact Score of 44 (ALIGNED) makes this attractive for faith-based investors.</w:t>
      </w:r>
    </w:p>
    <w:p>
      <w:pPr>
        <w:spacing w:after="120"/>
      </w:pPr>
      <w:r>
        <w:rPr>
          <w:rFonts w:ascii="Calibri" w:hAnsi="Calibri"/>
          <w:b w:val="0"/>
          <w:color w:val="3A4A28"/>
          <w:sz w:val="20"/>
        </w:rPr>
        <w:t>The bear case centers on capital efficiency, valuation premium, and commodity cyclicality. ROE of just 1.83% signals poor returns on the enlarged post-merger equity base, and the forward P/E of 43.79x is expensive for a commodity REIT, pricing in substantial synergy realization and growth that timber markets may not deliver [2]. While Q2 2026 showed improvement over Q1's net loss, the earnings trajectory remains uncertain as merger integration costs and D&amp;A charges weigh on GAAP profitability. Timber and lumber prices are cyclical and sensitive to housing starts, interest rates, and construction activity — prolonged weakness in U.S. housing affordability could compress both timber realizations and wood products margins simultaneously. The 5-year dividend growth CAGR of ~2% barely keeps pace with inflation, limiting total return potential for income investors. Merger integration risk persists as two complex organizations with different cultures and operating philosophies must be combined across 11 states and six manufacturing facilities without disrupting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PotlatchDeltic merger synergies of $75-100M in annualized EBITDA expected to materialize through 2027, with Q2 2026 already delivering $124M adjusted EBITDA and H1 cash available for distribution of $177M vs. $47M a year earlier [1]</w:t>
      </w:r>
    </w:p>
    <w:p>
      <w:pPr>
        <w:spacing w:before="40" w:after="40"/>
        <w:ind w:left="283"/>
      </w:pPr>
      <w:r>
        <w:rPr>
          <w:rFonts w:ascii="Calibri" w:hAnsi="Calibri"/>
          <w:b/>
          <w:color w:val="4A6B25"/>
          <w:sz w:val="20"/>
        </w:rPr>
        <w:t xml:space="preserve">2. </w:t>
      </w:r>
      <w:r>
        <w:rPr>
          <w:rFonts w:ascii="Calibri" w:hAnsi="Calibri"/>
          <w:b w:val="0"/>
          <w:color w:val="3A4A28"/>
          <w:sz w:val="20"/>
        </w:rPr>
        <w:t>Carbon credit revenue potential from 4.2M-acre timberland portfolio as voluntary carbon markets mature, with Rayonier's Climate Pledge commitment and land-based solutions business positioned to monetize natural carbon sequestration [4]</w:t>
      </w:r>
    </w:p>
    <w:p>
      <w:pPr>
        <w:spacing w:before="40" w:after="40"/>
        <w:ind w:left="283"/>
      </w:pPr>
      <w:r>
        <w:rPr>
          <w:rFonts w:ascii="Calibri" w:hAnsi="Calibri"/>
          <w:b/>
          <w:color w:val="4A6B25"/>
          <w:sz w:val="20"/>
        </w:rPr>
        <w:t xml:space="preserve">3. </w:t>
      </w:r>
      <w:r>
        <w:rPr>
          <w:rFonts w:ascii="Calibri" w:hAnsi="Calibri"/>
          <w:b w:val="0"/>
          <w:color w:val="3A4A28"/>
          <w:sz w:val="20"/>
        </w:rPr>
        <w:t>U.S. housing recovery and data center construction driving lumber demand, with 1B+ board-feet of lumber shipment capacity across six sawmills providing direct exposure to construction activity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cyclicality with majority of revenue exposed to construction-related end markets — prolonged high mortgage rates or a housing downturn would compress timber prices and sawmill margins simultaneously [1]</w:t>
      </w:r>
    </w:p>
    <w:p>
      <w:pPr>
        <w:spacing w:before="40" w:after="40"/>
        <w:ind w:left="283"/>
      </w:pPr>
      <w:r>
        <w:rPr>
          <w:rFonts w:ascii="Calibri" w:hAnsi="Calibri"/>
          <w:b/>
          <w:color w:val="4A6B25"/>
          <w:sz w:val="20"/>
        </w:rPr>
        <w:t xml:space="preserve">2. </w:t>
      </w:r>
      <w:r>
        <w:rPr>
          <w:rFonts w:ascii="Calibri" w:hAnsi="Calibri"/>
          <w:b w:val="0"/>
          <w:color w:val="3A4A28"/>
          <w:sz w:val="20"/>
        </w:rPr>
        <w:t>Merger integration execution risk as two distinct organizational cultures combine across 11 states and six manufacturing facilities, with potential for management distraction, operational disruption, and failure to capture the $75-100M projected synergies [3]</w:t>
      </w:r>
    </w:p>
    <w:p>
      <w:pPr>
        <w:spacing w:before="40" w:after="40"/>
        <w:ind w:left="283"/>
      </w:pPr>
      <w:r>
        <w:rPr>
          <w:rFonts w:ascii="Calibri" w:hAnsi="Calibri"/>
          <w:b/>
          <w:color w:val="4A6B25"/>
          <w:sz w:val="20"/>
        </w:rPr>
        <w:t xml:space="preserve">3. </w:t>
      </w:r>
      <w:r>
        <w:rPr>
          <w:rFonts w:ascii="Calibri" w:hAnsi="Calibri"/>
          <w:b w:val="0"/>
          <w:color w:val="3A4A28"/>
          <w:sz w:val="20"/>
        </w:rPr>
        <w:t>Modest income growth with 5-year dividend growth CAGR of ~2% and ROE of 1.83% — total return depends heavily on capital appreciation from merger synergies and carbon market optionality rather than predictable earnings compounding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Rayonier's core business operations are entirely immune to AI disruption — growing trees on 25-30 year rotational cycles, managing forest ecosystems, harvesting timber, manufacturing lumber, and developing real estate are physical-world activities that require land ownership, biological growth, heavy equipment, and local regulatory compliance [3][4]. AI cannot grow a tree faster, harvest timber remotely, or manufacture lumber without physical facilities. The 4.2 million acres of owned timberland represent an irreplaceable physical asset base. AI growth may increase demand for Rayonier's products: data center construction requires lumber and building materials, and carbon sequestration credits from managed forests benefit from AI-driven demand for carbon offsets. Analysts express zero concern about AI disrupting timberland REITs. AI Opportunity (0/1): No AI-generated revenue. Forest management and lumber manufacturing have no AI product component, and no AI-driven operational efficiencies have been reported or quantified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Rayonier Q2 2026 Financial Results — Revenue $396.5M (+272% YoY), Adjusted EBITDA $124M, Adjusted EPS $0.10, H1 Cash Available for Distribution $177M, StockTitan/Alphastreet, August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GuruFocus — RYN Key Statistics: Forward P/E 43.79x, ROE 1.83%, D/E 39%, Stock Price $21.92, Operating Margin 18.06%,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Rayonier and PotlatchDeltic Merger of Equals — Closed January 30, 2026, 4.2M Acres, 6 Sawmills, Plywood Mill, $710M NZ Divestiture, IR.Rayonier.com Press Release</w:t>
      </w:r>
    </w:p>
    <w:p>
      <w:pPr>
        <w:spacing w:before="20" w:after="20"/>
        <w:ind w:left="170"/>
      </w:pPr>
      <w:r>
        <w:rPr>
          <w:rFonts w:ascii="Calibri" w:hAnsi="Calibri"/>
          <w:b/>
          <w:color w:val="4A6B25"/>
          <w:sz w:val="15"/>
        </w:rPr>
        <w:t xml:space="preserve">4. </w:t>
      </w:r>
      <w:r>
        <w:rPr>
          <w:rFonts w:ascii="Calibri" w:hAnsi="Calibri"/>
          <w:b w:val="0"/>
          <w:color w:val="3A4A28"/>
          <w:sz w:val="17"/>
        </w:rPr>
        <w:t>Rayonier Sustainability and Mission — Climate Pledge Signatory (Net-Zero by 2040), SFI/FSC/PEFC Certified, Land-Based Solutions, rayonier.com,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Rayonier Dividend History and Leadership — 32 Consecutive Years Paid Since 1994, CEO Mark McHugh, Executive Chairman Eric Cremers, GuruFocus/StockAnalysis,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