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RY</w:t>
      </w:r>
      <w:r>
        <w:rPr>
          <w:rFonts w:ascii="Calibri" w:hAnsi="Calibri"/>
          <w:b/>
          <w:color w:val="1A2010"/>
          <w:sz w:val="40"/>
        </w:rPr>
        <w:t xml:space="preserve">  Royal Bank of Canada</w:t>
      </w:r>
    </w:p>
    <w:p>
      <w:pPr>
        <w:spacing w:after="120"/>
      </w:pPr>
      <w:r>
        <w:rPr>
          <w:rFonts w:ascii="Calibri" w:hAnsi="Calibri"/>
          <w:b/>
          <w:color w:val="6E8450"/>
          <w:sz w:val="18"/>
        </w:rPr>
        <w:t>DIVIDEND SLEEVE · 2026-09-22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Banks - Diversified · NYSE · Canada</w:t>
      </w:r>
    </w:p>
    <w:p>
      <w:pPr>
        <w:spacing w:after="80"/>
      </w:pPr>
      <w:r>
        <w:rPr>
          <w:rFonts w:ascii="Calibri" w:hAnsi="Calibri"/>
          <w:b w:val="0"/>
          <w:color w:val="3A4A28"/>
          <w:sz w:val="20"/>
        </w:rPr>
        <w:t>Royal Bank of Canada is Canada's largest bank by market capitalization, operating as a diversified financial services company across personal banking, commercial banking, wealth management, insurance, and capital markets. Founded in 1864, RBC serves over 17 million clients worldwide with approximately 101,000 employees. CEO Dave McKay has led a major AI investment push, with the bank expecting C$700M-1B in AI-driven revenue and cost savings by 2027. RBC completed the transformative C$13.5B acquisition of HSBC Canada in 2024, significantly expanding its commercial banking presence.</w:t>
      </w:r>
    </w:p>
    <w:p>
      <w:r>
        <w:rPr>
          <w:rFonts w:ascii="Calibri" w:hAnsi="Calibri"/>
          <w:b/>
          <w:color w:val="6E8450"/>
          <w:sz w:val="18"/>
        </w:rPr>
        <w:t>101,269 Employees · https://www.rbc.com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RBC completed the C$13.5B HSBC Canada acquisition in 2024, the largest bank deal in Canadian history, expanding its commercial banking footprint and adding 780,000 clients [1]. While strategically significant, this is an acquisition-driven expansion rather than a product innovation or business model transformation. AI Deployment (2/2): RBC has deployed AI across its business with measurable results — management expects C$700M-1B in AI-driven revenue and cost savings by 2027 [2]. RBC won the IDC CIO Awards Canada 2026 for AI-driven credit underwriting transformation, and ranks 3rd on the Evident AI Index among global financial institutions behind JPMorgan and Capital One [2]. Market Share (1/2): RBC is Canada's largest bank by market cap and assets, with leading positions in personal banking, wealth management, and capital markets domestically, but does not define or lead a new category [1]. Product Pipeline (1/2): RBC has announced AI-driven initiatives including an internal AI accelerator reporting to the CEO and expanded digital banking capabilities, but no specific next-generation products with named launch dates and revenue targets [2]. R&amp;D Intensity (0/1): Banks do not typically disclose R&amp;D spending as a separate line item; RBC's technology investment is significant but not benchmarkable against industry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RBC's stated purpose is 'Helping clients thrive and communities prosper' — clear and specific to banking but not deeply distinctive from peer institutions like TD or BMO. The purpose identifies stakeholders and intent but reads as polished corporate positioning rather than a transformative vision [2]. Community Impact (1/2): RBC operates RBC Future Launch, a C$500M commitment to help Canadian youth prepare for the future of work, and maintains the RBC Foundation with broad community investment [3]. These are meaningful programs with specific dollar amounts, though fairly standard for a top-5 Canadian bank. Employee Retention (1/2): Glassdoor reviews describe 'great culture' with emphasis on work-life balance and innovation opportunities, and RBC's workforce of 101,000+ suggests stable employment [2]. However, no specific voluntary turnover or average tenure data is publicly available. Insider Buying (0/2): Recent insider transaction data shows exercises and dispositions by senior officers — consistent net insider selling with no evidence of meaningful open-market purchases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excluding D/E (unavailable for banks). RBC demonstrates strong profitability with ROE of 16.2% just above the 15% target, and profit margin of 33.9% well above the 20% target [4]. Forward P/E of 16.1x is comfortably below the 20x target, reflecting reasonable valuation for a diversified bank. Revenue growth YoY of 8.9% is slightly below the 10% target, reflecting Q3 FY2026 revenue growth driven by wealth management and capital markets [1]. Estimated 5yr revenue CAGR of ~8% based on FY2022-FY2025 trajectory (3yr CAGR of 10.9%, normalized for earlier slower growth). Dividend metrics are solid: payout ratio of 41.5% near the 40% target, 30+ consecutive years of dividend payments, approximately 5 years of consecutive growth post-OSFI COVID restriction, and 5yr dividend growth CAGR of ~5.9%. Liquidity is ample at ~$291M average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RBC operates with a steady, long-term orientation befitting a 162-year-old institution, but its competitive posture is more about maintaining dominance than pursuing a transformative purpose. The HSBC Canada acquisition demonstrates strategic ambition but is fundamentally a scale play rather than a cause-driven pivot. CEO Dave McKay's 11-year tenure provides stability, and the AI investment is forward-looking, but the bank's decision to withdraw its C$500B sustainable finance target in response to anti-greenwash legislation suggests pragmatic governance over principled commitment [3].</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'Helping clients thrive and communities prosper' is a purpose statement that exists and guides some decisions (RBC Future Launch, community investment) but is interchangeable with any major bank's mission [2]. It doesn't articulate a distinctive vision of a future state or differentiate RBC's strategic choices from peers. The withdrawal of the C$500B sustainable finance target when regulatory scrutiny increased suggests the purpose bends to expedience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RBC maintains a stable workforce of 101,000+ employees with generally positive Glassdoor sentiment citing good culture and work-life balance [2]. Leadership is consistent with McKay's 11-year CEO tenure and an experienced executive team. However, no evidence of exceptional trust practices, employee empowerment frameworks, or below-average voluntary turnover distinguishes RBC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RBC's competitive posture reflects respect for rivals' strengths rather than a zero-sum mindset. Management frames AI investment by referencing JPMorgan and Capital One's leadership on the Evident AI Index (RBC ranks 3rd), using their capabilities as motivation for improvement rather than targets for destruction [2]. The Canadian banking oligopoly encourages a coexistence model where competition drives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RBC has evolved from a Canadian domestic bank to a global diversified financial services firm, with the HSBC Canada acquisition (C$13.5B) representing a significant strategic move to expand commercial banking capabilities [1]. The AI investment pivot and creation of an internal AI accelerator show willingness to adapt. However, these are incremental evolutions within the banking model, not transformative reinventions.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HSBC Canada acquisition required substantial capital commitment (C$13.5B) and integration risk, demonstrating willingness to invest for long-term positioning [1]. RBC's AI investment of C$700M-1B in expected returns shows forward-looking capital allocation [2]. However, the withdrawal of sustainable finance targets when regulatory pressure emerged suggests leadership chooses expedience over principle when costs arise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Royal Bank of Canada at 16.1x forward earnings offers a well-valued entry into Canada's dominant financial institution, delivering record Q3 FY2026 net income of C$6.0B (+11% YoY) on revenue growth of 9% driven by strength in wealth management, capital markets, and commercial banking [1]. The HSBC Canada integration is unlocking cross-sell opportunities across 780,000 acquired clients, AI investments are expected to generate C$700M-1B in cumulative value by 2027, and the 2.46% dividend yield with a 41.5% payout ratio provides reliable income with room for continued growth [2]. ROE of 16.2% and profit margin of 33.9% reflect best-in-class efficiency for a diversified bank, and the forward P/E of 16.1x trades at a discount to U.S. money center peers.</w:t>
      </w:r>
    </w:p>
    <w:p>
      <w:pPr>
        <w:spacing w:after="120"/>
      </w:pPr>
      <w:r>
        <w:rPr>
          <w:rFonts w:ascii="Calibri" w:hAnsi="Calibri"/>
          <w:b w:val="0"/>
          <w:color w:val="3A4A28"/>
          <w:sz w:val="20"/>
        </w:rPr>
        <w:t>The bear case centers on Canadian macro exposure, currency risk, and limited growth upside at current scale. Canada's housing market remains vulnerable to a correction that could stress RBC's large mortgage portfolio, and rising interest rates create credit quality risk across consumer and commercial lending [1]. Revenue growth of 8.9% is decelerating from the HSBC integration boost, and organic growth in a mature Canadian banking market may revert to mid-single digits. The C$500B sustainable finance target withdrawal signals potential governance softening under regulatory pressure [3]. Currency risk is real for USD investors — the CAD/USD exchange rate can swing 5-10% annually, as evidenced by the dividend appearing to decline in USD terms despite consistent CAD growth. The PEG ratio of 2.26 suggests the market already prices in moderate growth, limiting upside unless AI or capital markets revenue accelerates beyond expectations.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HSBC Canada integration synergies expected to reach full run-rate by FY2027, with C$740M+ in pre-tax cost savings and cross-selling 780,000 acquired commercial and retail clients into RBC's broader product suite [1]</w:t>
      </w:r>
    </w:p>
    <w:p>
      <w:pPr>
        <w:spacing w:before="40" w:after="40"/>
        <w:ind w:left="283"/>
      </w:pPr>
      <w:r>
        <w:rPr>
          <w:rFonts w:ascii="Calibri" w:hAnsi="Calibri"/>
          <w:b/>
          <w:color w:val="4A6B25"/>
          <w:sz w:val="20"/>
        </w:rPr>
        <w:t xml:space="preserve">2. </w:t>
      </w:r>
      <w:r>
        <w:rPr>
          <w:rFonts w:ascii="Calibri" w:hAnsi="Calibri"/>
          <w:b w:val="0"/>
          <w:color w:val="3A4A28"/>
          <w:sz w:val="20"/>
        </w:rPr>
        <w:t>AI-driven revenue and cost savings targeting C$700M-1B by 2027, with proven deployments in credit underwriting, fraud detection, and wealth management personalization ranked 3rd globally among financial institutions [2]</w:t>
      </w:r>
    </w:p>
    <w:p>
      <w:pPr>
        <w:spacing w:before="40" w:after="40"/>
        <w:ind w:left="283"/>
      </w:pPr>
      <w:r>
        <w:rPr>
          <w:rFonts w:ascii="Calibri" w:hAnsi="Calibri"/>
          <w:b/>
          <w:color w:val="4A6B25"/>
          <w:sz w:val="20"/>
        </w:rPr>
        <w:t xml:space="preserve">3. </w:t>
      </w:r>
      <w:r>
        <w:rPr>
          <w:rFonts w:ascii="Calibri" w:hAnsi="Calibri"/>
          <w:b w:val="0"/>
          <w:color w:val="3A4A28"/>
          <w:sz w:val="20"/>
        </w:rPr>
        <w:t>Capital markets and wealth management benefiting from elevated M&amp;A activity and equity market gains, with Q3 FY2026 showing record earnings in both segments driving overall 13% EPS growth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Canadian housing market correction risk — RBC holds one of Canada's largest mortgage portfolios and a significant home price decline could materially increase credit provisions beyond the current quarterly provision level [1]</w:t>
      </w:r>
    </w:p>
    <w:p>
      <w:pPr>
        <w:spacing w:before="40" w:after="40"/>
        <w:ind w:left="283"/>
      </w:pPr>
      <w:r>
        <w:rPr>
          <w:rFonts w:ascii="Calibri" w:hAnsi="Calibri"/>
          <w:b/>
          <w:color w:val="4A6B25"/>
          <w:sz w:val="20"/>
        </w:rPr>
        <w:t xml:space="preserve">2. </w:t>
      </w:r>
      <w:r>
        <w:rPr>
          <w:rFonts w:ascii="Calibri" w:hAnsi="Calibri"/>
          <w:b w:val="0"/>
          <w:color w:val="3A4A28"/>
          <w:sz w:val="20"/>
        </w:rPr>
        <w:t>Earnings growth deceleration as HSBC integration benefits normalize, potentially reverting organic revenue growth to mid-single-digit rates in a mature Canadian banking market with limited domestic expansion opportunity [1]</w:t>
      </w:r>
    </w:p>
    <w:p>
      <w:pPr>
        <w:spacing w:before="40" w:after="40"/>
        <w:ind w:left="283"/>
      </w:pPr>
      <w:r>
        <w:rPr>
          <w:rFonts w:ascii="Calibri" w:hAnsi="Calibri"/>
          <w:b/>
          <w:color w:val="4A6B25"/>
          <w:sz w:val="20"/>
        </w:rPr>
        <w:t xml:space="preserve">3. </w:t>
      </w:r>
      <w:r>
        <w:rPr>
          <w:rFonts w:ascii="Calibri" w:hAnsi="Calibri"/>
          <w:b w:val="0"/>
          <w:color w:val="3A4A28"/>
          <w:sz w:val="20"/>
        </w:rPr>
        <w:t>USD/CAD currency headwind for U.S.-listed shareholders — the 5yr dividend growth CAGR of 5.9% in USD understates the ~7% CAD growth rate, and further CAD depreciation could compress total returns for ADR holders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Banking is structurally protected from AI disruption by heavy regulatory requirements (OSFI, Basel III), physical branch infrastructure, complex risk management processes, proprietary customer data spanning decades, and high switching costs for deposits and lending relationships [2]. AI enhances banking operations but cannot replace the trust-based relationship model or regulatory compliance framework. However, fintech and AI-native financial services could pressure margins on commoditized services like payments, basic lending, and robo-advisory, creating moderate exposure in lower-value segments. AI Opportunity (1/1): RBC generates quantifiable value from AI — management expects C$700M-1B in AI-driven revenue and cost savings by 2027, with AI deployed in credit underwriting (CIO Award-winning), fraud detection, and wealth management personalization [2]. RBC ranks 3rd globally on the Evident AI Index for financial institutions.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Royal Bank of Canada Q3 FY2026 Earnings Release — Record Net Income C$6.0B (+11% YoY), Revenue +9%, Diluted EPS C$4.23, August 2026</w:t>
      </w:r>
    </w:p>
    <w:p>
      <w:pPr>
        <w:spacing w:before="20" w:after="20"/>
        <w:ind w:left="170"/>
      </w:pPr>
      <w:r>
        <w:rPr>
          <w:rFonts w:ascii="Calibri" w:hAnsi="Calibri"/>
          <w:b/>
          <w:color w:val="4A6B25"/>
          <w:sz w:val="15"/>
        </w:rPr>
        <w:t xml:space="preserve">2. </w:t>
      </w:r>
      <w:r>
        <w:rPr>
          <w:rFonts w:ascii="Calibri" w:hAnsi="Calibri"/>
          <w:b w:val="0"/>
          <w:color w:val="3A4A28"/>
          <w:sz w:val="17"/>
        </w:rPr>
        <w:t>RBC AI Strategy — C$700M-1B Expected Savings by 2027, Evident AI Index #3 Globally, IDC CIO Award for AI Credit Underwriting — American Banker, Newswire, 2026</w:t>
      </w:r>
    </w:p>
    <w:p>
      <w:pPr>
        <w:spacing w:before="20" w:after="20"/>
        <w:ind w:left="170"/>
      </w:pPr>
      <w:r>
        <w:rPr>
          <w:rFonts w:ascii="Calibri" w:hAnsi="Calibri"/>
          <w:b/>
          <w:color w:val="4A6B25"/>
          <w:sz w:val="15"/>
        </w:rPr>
        <w:t xml:space="preserve">3. </w:t>
      </w:r>
      <w:r>
        <w:rPr>
          <w:rFonts w:ascii="Calibri" w:hAnsi="Calibri"/>
          <w:b w:val="0"/>
          <w:color w:val="3A4A28"/>
          <w:sz w:val="17"/>
        </w:rPr>
        <w:t>RBC Withdraws C$500B Sustainable Finance Target Citing Anti-Greenwash Legislation — Globe and Mail, ESG News, 2025-2026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RY Key Statistics: Forward P/E 16.14x, ROE 16.2%, Profit Margin 33.9%, Dividend Yield 2.46%,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