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SARO</w:t>
      </w:r>
      <w:r>
        <w:rPr>
          <w:rFonts w:ascii="Calibri" w:hAnsi="Calibri"/>
          <w:b/>
          <w:color w:val="1A2010"/>
          <w:sz w:val="40"/>
        </w:rPr>
        <w:t xml:space="preserve">  StandardAero, Inc.</w:t>
      </w:r>
    </w:p>
    <w:p>
      <w:pPr>
        <w:spacing w:after="120"/>
      </w:pPr>
      <w:r>
        <w:rPr>
          <w:rFonts w:ascii="Calibri" w:hAnsi="Calibri"/>
          <w:b/>
          <w:color w:val="6E8450"/>
          <w:sz w:val="18"/>
        </w:rPr>
        <w:t>GROWTH SLEEVE · 2026-08-29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StandardAero is the world's largest independent aerospace engine aftermarket services provider, offering MRO, on-wing support, asset management, and component repair for commercial, business, military, and helicopter aircraft. Founded in 1911, the company operates globally with capabilities spanning CFM56, LEAP, PT6, and other major engine platforms. IPO on NYSE in October 2024 after Carlyle private equity ownership. CEO succession underway as Russell Ford retires and Paul McElhinney (30-year GE Aviation veteran) takes over October 1, 2026.</w:t>
      </w:r>
    </w:p>
    <w:p>
      <w:r>
        <w:rPr>
          <w:rFonts w:ascii="Calibri" w:hAnsi="Calibri"/>
          <w:b/>
          <w:color w:val="6E8450"/>
          <w:sz w:val="18"/>
        </w:rPr>
        <w:t>8,000 Employees · https://standardaero.com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StandardAero delivered Q2 2026 revenue of $1,599.7M (up 4.6% YoY) with adjusted EBITDA increasing 12.3% to $230M and record 14.4% EBITDA margin, demonstrating operational scaling [1]. Raised full-year 2026 guidance to $6.375-6.5B revenue and $885-910M adjusted EBITDA [1]. However, this represents scaling an established MRO business model rather than transformative innovation. AI Deployment (0/2): No evidence of AI-powered products, tools, or measurable AI-driven efficiency gains in MRO operations or customer-facing services [3]. Market Share (2/2): StandardAero is the world's largest independent aerospace MRO provider in a $110B addressable market, holding exclusive long-term contracts on major engine platforms including CFM56 and LEAP [1][6]. Achieved growth across all three end markets in Q1-Q2 2026 [1][2]. Product Pipeline (1/2): LEAP engine MRO program reached profitability in Q2 2026, with management targeting $1B annual revenue by decade's end and several billion by mid-2030s as heavier maintenance scopes emerge [1][6]. However, this is a ramp on an existing program rather than a next-generation product launch. R&amp;D Intensity (1/1): While traditional R&amp;D is minimal, the company invests heavily in certifications, tooling, and technical capabilities for new engine program qualifications like LEAP, functioning as R&amp;D equivalent in the MRO sector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StandardAero's purpose centers on keeping aircraft engines running safely and efficiently — a clear and important mission that identifies what the company does and for whom, but not deeply distinctive beyond the operational mandate of any aerospace MRO provider [1]. The 115-year history demonstrates genuine commitment to this purpose. Community Impact (1/2): The company hired a dedicated VP of ESG, published corporate sustainability reports, set net-zero carbon goals for 2050, and integrates sustainable aviation fuel (SAF) research into operations [4]. These are genuine environmental commitments for the sector, though no specific community investment programs with quantified dollar amounts. Employee Retention (1/2): 8,000 employees globally with a carefully planned CEO succession — Russell Ford (13 years) transitioning to Paul McElhinney (35-year aerospace veteran from GE Aviation Services) with Ford remaining as Executive Chairman through 2026 [3]. McElhinney selected for 'deep and unique understanding of StandardAero's strategy, customers and culture' [3]. Insider Buying (0/2): No evidence of meaningful net open-market insider buying by executives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including Forward PEG now calculable. D/E of 93% ($2.57B debt / $2.76B equity) scores 0.90 — above the 70% target but manageable with leverage declining to 2.6x EBITDA [1][5]. ROE of 12.3% ($324M TTM net income) scores 0.82, improving rapidly with net income up 143% YoY [5]. Revenue growth YoY of 12.6% (TTM) exceeds the 10% target, with Q2 2026 delivering $1,599.7M and guidance raised to $6.375-6.5B [1]. Revenue 5yr CAGR of approximately 15% (from $3.48B in FY2021 to $6.06B in FY2025) scores perfectly [5]. Forward P/E of 18.62 is within the 20x target [5]. Profit margin of 5.12% is structurally thin for MRO with material pass-throughs, scoring 0.26 — the primary drag [5]. Forward PEG of approximately 0.92 (Forward P/E 18.62 / 3Y EPS growth forecast 20.24%) scores perfectly with 2x weight [5]. Liquidity cleared: 3.3M avg volume x $25.01 = $82.5M.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StandardAero has operated continuously since 1911, demonstrating remarkable longevity through multiple ownership transitions (most recently Carlyle private equity to NYSE IPO), wars, and industry cycles. The carefully planned CEO succession from Russell Ford to Paul McElhinney shows institutional stability [3]. The LEAP program investment and 115-year operational continuity suggest a company built to endure. However, the private equity heritage and financial engineering focus suggest pragmatic optimization over purpose-driven infinite game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StandardAero's enduring purpose — keeping aircraft engines safe and operational — has sustained the company for 115 years across multiple ownership structures, wars, and industry transformations [1]. This longevity validates a genuine cause that transcends individual leaders, ownership transitions, and market cycles. However, the purpose is more operational than aspirational — maintaining engines is vital but does not describe 'a future state so appealing that people will sacrifice to advance it' in the Sinek sense.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carefully planned CEO succession — Russell Ford (13 years) staying as Executive Chairman while Paul McElhinney (35-year GE veteran) assumes operational leadership — demonstrates organizational trust and leadership continuity [3]. McElhinney was selected as Lead Independent Director first, giving the board deep familiarity before promotion. The 8,000-employee global workforce maintained stability through the IPO transition. However, no specific employee satisfaction, retention, or tenure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StandardAero's leadership publicly acknowledging competitors' strengths or framing competition as motivation for self-improvement. The MRO industry is competitive with Lufthansa Technik, GE Aerospace Services, and MTU, but StandardAero's communications focus on its own market position, growth metrics, and LEAP program scale rather than learning from rivals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StandardAero evolved over 115 years from a small aviation services shop to the world's largest independent engine MRO provider, navigating ownership transitions from family to Carlyle to NYSE public company [1]. The LEAP program investment ahead of revenue represents strategic positioning for next-generation engines, and the company has expanded from pure engine overhaul to component repair, asset management, and engineering solutions. These are meaningful but incremental adaptations, not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invested in LEAP engine capabilities ahead of revenue generation, accepting near-term margin dilution for long-term positioning — and LEAP reached profitability in Q2 2026, validating the bet [1]. The decision to raise 2026 guidance while managing a CEO transition demonstrates confidence. However, these are standard strategic investments for an MRO company, and the private equity heritage suggests financial optimization rather than sacrificial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StandardAero is the world's largest independent aerospace engine MRO provider delivering consistent growth with improving profitability — Q2 2026 revenue of $1,599.7M with record 14.4% adjusted EBITDA margin ($230M, up 12.3% YoY), and net income of $97.3M (up 44% YoY) [1]. Management raised full-year 2026 guidance to $6.375-6.5B revenue and $885-910M adjusted EBITDA while leverage declined to 2.6x [1]. The LEAP program reached profitability in Q2 2026 — a critical milestone with the installed base entering its first major overhaul cycle, targeting $1B annual revenue by decade's end and several billion by mid-2030s [1][6]. Infrastructure scores 9/10 with an attractive forward PEG of 0.92 (Forward P/E 18.62 against 20.24% EPS growth), 12.6% revenue growth, and 15% 5yr revenue CAGR [5]. AI resilience is exceptional (8/10) as physical engine MRO with FAA/EASA certification requirements is immune to AI disruption [3].</w:t>
      </w:r>
    </w:p>
    <w:p>
      <w:pPr>
        <w:spacing w:after="120"/>
      </w:pPr>
      <w:r>
        <w:rPr>
          <w:rFonts w:ascii="Calibri" w:hAnsi="Calibri"/>
          <w:b w:val="0"/>
          <w:color w:val="3A4A28"/>
          <w:sz w:val="20"/>
        </w:rPr>
        <w:t>The bear case centers on thin margins and valuation risk. Profit margin of 5.12% is structurally thin for MRO with material pass-throughs — the primary drag on the infrastructure score [5]. D/E of 93% and $2.57B legacy debt burden from the Carlyle era constrain financial flexibility, though leverage is declining to 2.6x EBITDA [1]. The stock has declined 27% from its $34.48 52-week high to $25.01, reflecting market concerns about growth deceleration (Q2 revenue growth slowed to 4.6% from 13.3% in Q1) [1][5]. CEO transition risk exists as founding CEO Russell Ford hands off to Paul McElhinney effective October 1, 2026, though the structured succession with Ford remaining as Executive Chairman mitigates disruption [3]. Supply chain part delays continue to constrain throughput globally, and the company has zero AI deployment or innovation beyond its core MRO capabilities. No dividend reduces appeal for income-oriented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LEAP engine program reached profitability in Q2 2026, with the growing installed base driving decades of recurring MRO demand as first heavy maintenance scopes emerge — targeting $1B annual revenue by decade's end [1][6]</w:t>
      </w:r>
    </w:p>
    <w:p>
      <w:pPr>
        <w:spacing w:before="40" w:after="40"/>
        <w:ind w:left="283"/>
      </w:pPr>
      <w:r>
        <w:rPr>
          <w:rFonts w:ascii="Calibri" w:hAnsi="Calibri"/>
          <w:b/>
          <w:color w:val="4A6B25"/>
          <w:sz w:val="20"/>
        </w:rPr>
        <w:t xml:space="preserve">2. </w:t>
      </w:r>
      <w:r>
        <w:rPr>
          <w:rFonts w:ascii="Calibri" w:hAnsi="Calibri"/>
          <w:b w:val="0"/>
          <w:color w:val="3A4A28"/>
          <w:sz w:val="20"/>
        </w:rPr>
        <w:t>Raised 2026 guidance to $6.375-6.5B revenue and $885-910M adjusted EBITDA with record 14.4% EBITDA margin, demonstrating operational leverage as scale increases [1]</w:t>
      </w:r>
    </w:p>
    <w:p>
      <w:pPr>
        <w:spacing w:before="40" w:after="40"/>
        <w:ind w:left="283"/>
      </w:pPr>
      <w:r>
        <w:rPr>
          <w:rFonts w:ascii="Calibri" w:hAnsi="Calibri"/>
          <w:b/>
          <w:color w:val="4A6B25"/>
          <w:sz w:val="20"/>
        </w:rPr>
        <w:t xml:space="preserve">3. </w:t>
      </w:r>
      <w:r>
        <w:rPr>
          <w:rFonts w:ascii="Calibri" w:hAnsi="Calibri"/>
          <w:b w:val="0"/>
          <w:color w:val="3A4A28"/>
          <w:sz w:val="20"/>
        </w:rPr>
        <w:t>Leverage declining to 2.6x EBITDA enables accelerated debt reduction and balance sheet flexibility, with potential for capital returns or M&amp;A once CEO transition completes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growth decelerated to 4.6% YoY from 13.3% in Q1 — any sustained slowdown below double-digit growth could trigger multiple compression from the 18.62x forward P/E [1][5]</w:t>
      </w:r>
    </w:p>
    <w:p>
      <w:pPr>
        <w:spacing w:before="40" w:after="40"/>
        <w:ind w:left="283"/>
      </w:pPr>
      <w:r>
        <w:rPr>
          <w:rFonts w:ascii="Calibri" w:hAnsi="Calibri"/>
          <w:b/>
          <w:color w:val="4A6B25"/>
          <w:sz w:val="20"/>
        </w:rPr>
        <w:t xml:space="preserve">2. </w:t>
      </w:r>
      <w:r>
        <w:rPr>
          <w:rFonts w:ascii="Calibri" w:hAnsi="Calibri"/>
          <w:b w:val="0"/>
          <w:color w:val="3A4A28"/>
          <w:sz w:val="20"/>
        </w:rPr>
        <w:t>Thin 5.12% profit margin with 93% D/E leaves limited buffer if aerospace aftermarket demand softens, a recession reduces flight hours, or supply chain part delays worsen [5]</w:t>
      </w:r>
    </w:p>
    <w:p>
      <w:pPr>
        <w:spacing w:before="40" w:after="40"/>
        <w:ind w:left="283"/>
      </w:pPr>
      <w:r>
        <w:rPr>
          <w:rFonts w:ascii="Calibri" w:hAnsi="Calibri"/>
          <w:b/>
          <w:color w:val="4A6B25"/>
          <w:sz w:val="20"/>
        </w:rPr>
        <w:t xml:space="preserve">3. </w:t>
      </w:r>
      <w:r>
        <w:rPr>
          <w:rFonts w:ascii="Calibri" w:hAnsi="Calibri"/>
          <w:b w:val="0"/>
          <w:color w:val="3A4A28"/>
          <w:sz w:val="20"/>
        </w:rPr>
        <w:t>CEO succession risk as founding CEO Russell Ford transitions to Paul McElhinney on October 1, 2026 — cultural continuity and strategic execution during the first year of new leadership is untested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Aerospace engine MRO is inherently physical — tearing down, inspecting, repairing, and reassembling jet engines requires specialized facilities, FAA/EASA certifications, and hands-on skilled technicians that AI structurally cannot replace [1][3]. Engine overhaul intervals are set by regulators regardless of condition monitoring, ensuring demand is structurally protected. The $110B aerospace MRO market is driven by the growing global aircraft fleet and a trend among airlines to outsource maintenance, creating durable demand [3]. AI-driven predictive maintenance actually increases MRO value by enabling more targeted and efficient shop visits. AI Opportunity (0/1): No evidence of StandardAero generating revenue from AI-powered products or services. The company has not deployed customer-facing AI tools with measurable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StandardAero Q2 2026 Results — $1,599.7M revenue, record 14.4% EBITDA margin, LEAP profitability, raised guidance, ir.standardaero.com, August 2026</w:t>
      </w:r>
    </w:p>
    <w:p>
      <w:pPr>
        <w:spacing w:before="20" w:after="20"/>
        <w:ind w:left="170"/>
      </w:pPr>
      <w:r>
        <w:rPr>
          <w:rFonts w:ascii="Calibri" w:hAnsi="Calibri"/>
          <w:b/>
          <w:color w:val="4A6B25"/>
          <w:sz w:val="15"/>
        </w:rPr>
        <w:t xml:space="preserve">2. </w:t>
      </w:r>
      <w:r>
        <w:rPr>
          <w:rFonts w:ascii="Calibri" w:hAnsi="Calibri"/>
          <w:b w:val="0"/>
          <w:color w:val="3A4A28"/>
          <w:sz w:val="17"/>
        </w:rPr>
        <w:t>StandardAero Q1 2026 Results — $1.63B revenue up 13.3%, double-digit growth all end markets, ir.standardaero.com, May 2026</w:t>
      </w:r>
    </w:p>
    <w:p>
      <w:pPr>
        <w:spacing w:before="20" w:after="20"/>
        <w:ind w:left="170"/>
      </w:pPr>
      <w:r>
        <w:rPr>
          <w:rFonts w:ascii="Calibri" w:hAnsi="Calibri"/>
          <w:b/>
          <w:color w:val="4A6B25"/>
          <w:sz w:val="15"/>
        </w:rPr>
        <w:t xml:space="preserve">3. </w:t>
      </w:r>
      <w:r>
        <w:rPr>
          <w:rFonts w:ascii="Calibri" w:hAnsi="Calibri"/>
          <w:b w:val="0"/>
          <w:color w:val="3A4A28"/>
          <w:sz w:val="17"/>
        </w:rPr>
        <w:t>StandardAero CEO Succession — Russell Ford retiring, Paul McElhinney (GE Aviation 30yr veteran) effective Oct 1, Simply Wall St/BriefGlance, 2026</w:t>
      </w:r>
    </w:p>
    <w:p>
      <w:pPr>
        <w:spacing w:before="20" w:after="20"/>
        <w:ind w:left="170"/>
      </w:pPr>
      <w:r>
        <w:rPr>
          <w:rFonts w:ascii="Calibri" w:hAnsi="Calibri"/>
          <w:b/>
          <w:color w:val="4A6B25"/>
          <w:sz w:val="15"/>
        </w:rPr>
        <w:t xml:space="preserve">4. </w:t>
      </w:r>
      <w:r>
        <w:rPr>
          <w:rFonts w:ascii="Calibri" w:hAnsi="Calibri"/>
          <w:b w:val="0"/>
          <w:color w:val="3A4A28"/>
          <w:sz w:val="17"/>
        </w:rPr>
        <w:t>StandardAero Corporate Sustainability — VP of ESG, net-zero 2050 goals, SAF research, Modern Slavery Act statement, standardaero.com, 2024-2026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SARO Key Statistics, Forward PE 18.62, PEG 0.07,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StandardAero Q2 2026 Earnings Call — LEAP reaching $1B by decade's end, accelerating military bookings, Motley Fool transcript, August 2026</w:t>
      </w:r>
    </w:p>
    <w:p>
      <w:pPr>
        <w:spacing w:before="20" w:after="20"/>
        <w:ind w:left="170"/>
      </w:pPr>
      <w:r>
        <w:rPr>
          <w:rFonts w:ascii="Calibri" w:hAnsi="Calibri"/>
          <w:b/>
          <w:color w:val="4A6B25"/>
          <w:sz w:val="15"/>
        </w:rPr>
        <w:t xml:space="preserve">7. </w:t>
      </w:r>
      <w:r>
        <w:rPr>
          <w:rFonts w:ascii="Calibri" w:hAnsi="Calibri"/>
          <w:b w:val="0"/>
          <w:color w:val="3A4A28"/>
          <w:sz w:val="17"/>
        </w:rPr>
        <w:t>StandardAero SEC S-1 Filing — Company overview, $110B addressable market, engine platform capabilities,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