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SBET</w:t>
      </w:r>
      <w:r>
        <w:rPr>
          <w:rFonts w:ascii="Calibri" w:hAnsi="Calibri"/>
          <w:b/>
          <w:color w:val="1A2010"/>
          <w:sz w:val="40"/>
        </w:rPr>
        <w:t xml:space="preserve">  Sharplink, Inc.</w:t>
      </w:r>
    </w:p>
    <w:p>
      <w:pPr>
        <w:spacing w:after="120"/>
      </w:pPr>
      <w:r>
        <w:rPr>
          <w:rFonts w:ascii="Calibri" w:hAnsi="Calibri"/>
          <w:b/>
          <w:color w:val="6E8450"/>
          <w:sz w:val="18"/>
        </w:rPr>
        <w:t>GROWTH SLEEVE · 2026-10-16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Sharplink, Inc. (formerly SharpLink Gaming, renamed February 2026) operates as an institutional-grade Ethereum treasury platform and one of the largest publicly traded corporate ETH holders. The company pivoted in mid-2025 from sports betting affiliate marketing to a crypto treasury vehicle, raising billions through equity markets to accumulate and stake Ethereum. Q1 2026 revenue was $12.1M and Q2 2026 revenue was $11.5M (both primarily from ETH staking), against net losses of $685.6M and $394.3M respectively [1]. Led by CEO Joseph Chalom (former BlackRock executive, appointed sole CEO December 2025) with Ethereum co-founder Joseph Lubin as Executive Chairman. The company committed $170M in ETH to the Linea Layer 2 network in January 2026 [2]. Market cap approximately $1.8B.</w:t>
      </w:r>
    </w:p>
    <w:p>
      <w:r>
        <w:rPr>
          <w:rFonts w:ascii="Calibri" w:hAnsi="Calibri"/>
          <w:b/>
          <w:color w:val="6E8450"/>
          <w:sz w:val="18"/>
        </w:rPr>
        <w:t>15 Employees · https://www.sharplink.com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Sharplink executed one of the most dramatic corporate pivots in recent market history, transforming from a small sports betting marketing company (~$0.7M quarterly revenue) into one of the world's largest publicly traded corporate Ethereum holders in under 18 months [1][2]. While bold in scope, this represents a financial strategy pivot rather than product or technology innovation — the company holds and stakes a single crypto asset. AI Deployment (0/2): No AI deployment or strategy was identified. The company is a crypto treasury vehicle without meaningful technology operations. Market Share (1/2): Sharplink is one of the largest publicly traded institutional ETH holders, and the $170M commitment to Linea Layer 2 staking represents a distinctive position [1][2]. However, the 'market' is ETH accumulation rather than a traditional product category, and the position is replicable by any entity with capital. Product Pipeline (0/2): No next-generation products or services with specific timelines. The strategy is to continue accumulating and staking ETH. R&amp;D Intensity (0/1): No meaningful R&amp;D expenditure. The company is a financial holding vehicle with 15 employees, not a technology developer.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Sharplink describes itself as an 'institutional-grade Ethereum treasury platform that provides public market investors with exposure to ETH' [2]. This is a business description rather than a mission — it identifies what the company does (holds Ethereum) but articulates no deeper purpose. Interchangeable with any crypto holding vehicle. Community Impact (0/2): No evidence of charitable programs, community investment, or social impact initiatives. Employee Retention (0/2): The company has 15 employees with no public data on retention or tenure. The recent CEO transition (Rob Phythian to Joseph Chalom, December 2025) and complete business model transformation create inherent instability. Insider Buying (0/2): While Joseph Lubin (Ethereum co-founder) serves as Executive Chairman, providing ecosystem alignment, no specific insider open-market stock purchases were identified [2]. Leadership conviction is expressed through the ETH treasury strategy rather than personal share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ROE of -183.6% scores 0.0 (2x weight), reflecting massive losses from unrealized ETH impairments and the complete transformation of the business [4]. Revenue growth of 1,554% YoY scores 1.0, though this reflects a complete business model change from ~$0.7M to $12.1M quarterly revenue rather than organic growth [1]. Forward P/E of 68.2 is above the 60 floor (score 0.0), indicating extreme overvaluation relative to projected earnings. Profit margin of 0% scores 0.0. D/E, Revenue 5yr CAGR, and PEG are unavailable and excluded. Weighted sum of 1.0 out of 5.0 available weight units yields 2/10. Liquidity floor easily cleared with approximately $69M daily trading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Sharplink is a quintessential finite game player — a company that exists to maximize returns on a single speculative asset (Ethereum) with no articulated vision of a future worth building toward. The transformation from sports betting affiliate to ETH treasury vehicle was driven by financial opportunity, not purpose. The company's success or failure is entirely determined by ETH price movements. There is no Just Cause, no evidence of organizational trust-building, and no competitive philosophy beyond accumulating more ETH than peers.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Sharplink has no Just Cause in Sinek's framework. The company exists to accumulate Ethereum and generate staking yields for shareholders [1][2]. There is no articulated vision of a future state worth building toward, no purpose beyond financial returns, and no cause that would survive a change in ETH's investment thesis. The business model is purely transactional — buy ETH, stake ETH, report returns. Executive Chairman Lubin's vision of Ethereum's broader ecosystem impact is not reflected in Sharplink's own corporate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15 employees, Sharplink is too small and newly constituted to evaluate organizational trust meaningfully [2]. The leadership team was assembled in 2025 around the ETH treasury pivot, with CEO Joseph Chalom joining as co-CEO in July 2025 and becoming sole CEO in December 2025 after Rob Phythian stepped down. The rapid leadership transition and complete business model transformation suggest organizational instability rather than trust-building.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Sharplink's competitive positioning is defined by ETH accumulation volume — being among the 'largest' corporate holders — which is a finite metric focused on size rather than improvement [1]. The company does not publicly acknowledge competitors' strengths or frame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Sharplink executed a radical business model transformation in 2025, abandoning its legacy sports betting affiliate marketing business to become an Ethereum treasury platform [1][2]. This demonstrates willingness to completely reinvent the company. However, the pivot was driven by financial opportunism (leveraging the crypto bull market and capital markets access) rather than a cause-driven strategic evolution.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transform a small gaming company into an institutional-grade ETH treasury platform required raising billions in equity capital, hiring new leadership from BlackRock and the Ethereum ecosystem, and abandoning the existing business [2]. This was a high-conviction bet that risked the company's existence. However, the courage was in service of financial speculation rather than a Just Cause, and the massive shareholder dilution raises questions about whether leadership prioritized its own crypto thesis over existing shareholders' interests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Sharplink at $8.18 offers leveraged exposure to Ethereum through a publicly traded equity structure, led by CEO Joseph Chalom (20-year BlackRock veteran) and Executive Chairman Joseph Lubin (Ethereum co-founder) [2]. Q1 2026 revenue of $12.1M and Q2 of $11.5M demonstrate the staking strategy is generating meaningful cash flow from the ETH treasury position [1]. The $170M commitment to Linea Layer 2 staking represents institutional-grade DeFi yield generation. The Inspire Impact Score of 35 (ALIGNED) with no negative attributions is clean for faith-based screening. If ETH appreciates significantly, Sharplink provides amplified upside through its concentrated position and growing staking yields.</w:t>
      </w:r>
    </w:p>
    <w:p>
      <w:pPr>
        <w:spacing w:after="120"/>
      </w:pPr>
      <w:r>
        <w:rPr>
          <w:rFonts w:ascii="Calibri" w:hAnsi="Calibri"/>
          <w:b w:val="0"/>
          <w:color w:val="3A4A28"/>
          <w:sz w:val="20"/>
        </w:rPr>
        <w:t>The bear case is severe and multi-dimensional. Sharplink lost $685.6M in Q1 and $394.3M in Q2 2026 against only $23.6M in H1 revenue — a catastrophic mismatch reflecting total dependence on ETH price movements [1]. The net losses are driven by unrealized ETH impairments that dwarf staking revenue. ROE of -183.6% and Forward P/E of 68.2x reflect a business with no path to conventional profitability. The company has 15 employees and no operating business beyond holding crypto — the legacy affiliate marketing segment is immaterial. The ETH treasury strategy is replicable by any entity with capital market access, providing no competitive moat. Massive equity dilution (billions raised through share issuance) erodes per-share value. Martin Shkreli publicly warned investors against the stock, and the company's value proposition versus simply holding ETH directly (without management fees, dilution risk, and governance overhead) remains unclear [3]. Revenue declined sequentially from Q1 to Q2, and an Ethereum price correction would devastate the portfolio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Ethereum price appreciation would directly increase the value of Sharplink's ETH position, with staking yields compounding returns above simple price exposure [1]</w:t>
      </w:r>
    </w:p>
    <w:p>
      <w:pPr>
        <w:spacing w:before="40" w:after="40"/>
        <w:ind w:left="283"/>
      </w:pPr>
      <w:r>
        <w:rPr>
          <w:rFonts w:ascii="Calibri" w:hAnsi="Calibri"/>
          <w:b/>
          <w:color w:val="4A6B25"/>
          <w:sz w:val="20"/>
        </w:rPr>
        <w:t xml:space="preserve">2. </w:t>
      </w:r>
      <w:r>
        <w:rPr>
          <w:rFonts w:ascii="Calibri" w:hAnsi="Calibri"/>
          <w:b w:val="0"/>
          <w:color w:val="3A4A28"/>
          <w:sz w:val="20"/>
        </w:rPr>
        <w:t>Expansion of DeFi staking and yield-generation strategies across new protocols — the $170M Linea Layer 2 commitment demonstrates institutional-grade yield optimization that could generate above-market returns on ETH holdings [2]</w:t>
      </w:r>
    </w:p>
    <w:p>
      <w:pPr>
        <w:spacing w:before="40" w:after="40"/>
        <w:ind w:left="283"/>
      </w:pPr>
      <w:r>
        <w:rPr>
          <w:rFonts w:ascii="Calibri" w:hAnsi="Calibri"/>
          <w:b/>
          <w:color w:val="4A6B25"/>
          <w:sz w:val="20"/>
        </w:rPr>
        <w:t xml:space="preserve">3. </w:t>
      </w:r>
      <w:r>
        <w:rPr>
          <w:rFonts w:ascii="Calibri" w:hAnsi="Calibri"/>
          <w:b w:val="0"/>
          <w:color w:val="3A4A28"/>
          <w:sz w:val="20"/>
        </w:rPr>
        <w:t>Potential inclusion in cryptocurrency or digital asset ETFs and indices could drive institutional buying, as Sharplink is one of the few publicly traded pure-play ETH exposure vehicles on NASDAQ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Ethereum price decline would devastate the portfolio — with $685.6M and $394.3M net losses in Q1 and Q2 respectively driven by ETH impairments, the company's value is entirely a function of crypto market movements and carries no financial floor [1]</w:t>
      </w:r>
    </w:p>
    <w:p>
      <w:pPr>
        <w:spacing w:before="40" w:after="40"/>
        <w:ind w:left="283"/>
      </w:pPr>
      <w:r>
        <w:rPr>
          <w:rFonts w:ascii="Calibri" w:hAnsi="Calibri"/>
          <w:b/>
          <w:color w:val="4A6B25"/>
          <w:sz w:val="20"/>
        </w:rPr>
        <w:t xml:space="preserve">2. </w:t>
      </w:r>
      <w:r>
        <w:rPr>
          <w:rFonts w:ascii="Calibri" w:hAnsi="Calibri"/>
          <w:b w:val="0"/>
          <w:color w:val="3A4A28"/>
          <w:sz w:val="20"/>
        </w:rPr>
        <w:t>Massive equity dilution through billions in share issuances to fund ETH purchases erodes per-share value, and the company has disclosed no limit on future dilution — the stock essentially functions as a leveraged ETH bet with added management fees and governance risk [1][3]</w:t>
      </w:r>
    </w:p>
    <w:p>
      <w:pPr>
        <w:spacing w:before="40" w:after="40"/>
        <w:ind w:left="283"/>
      </w:pPr>
      <w:r>
        <w:rPr>
          <w:rFonts w:ascii="Calibri" w:hAnsi="Calibri"/>
          <w:b/>
          <w:color w:val="4A6B25"/>
          <w:sz w:val="20"/>
        </w:rPr>
        <w:t xml:space="preserve">3. </w:t>
      </w:r>
      <w:r>
        <w:rPr>
          <w:rFonts w:ascii="Calibri" w:hAnsi="Calibri"/>
          <w:b w:val="0"/>
          <w:color w:val="3A4A28"/>
          <w:sz w:val="20"/>
        </w:rPr>
        <w:t>No competitive moat — the ETH treasury strategy is replicable by any entity with capital market access, and Sharplink's value proposition versus holding ETH directly (through an ETF or wallet) remains unclear given the added layers of dilution, fees, and counterparty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Sharplink's core business — holding, staking, and managing Ethereum as a treasury asset — is a financial operation that AI cannot substitute or displace [1]. Blockchain validation and staking are algorithmic processes independent of AI advances. The value of the company is determined by ETH price movements and DeFi yields, neither of which are threatened by AI disruption. If anything, growing AI compute demand has historically been neutral-to-positive for crypto infrastructure economics. However, the company scores 7 rather than 8-9 because its business model is purely financial with no physical-world moat — it could be replicated by any entity with capital, and AI-powered trading or yield optimization strategies could increase competition in DeFi yield generation [2]. The legacy affiliate marketing segment faces moderate AI risk from automated marketing tools. AI Opportunity (0/1): Sharplink generates no revenue from AI-related products or services. Revenue derives entirely from Ethereum staking yields and legacy affiliate marketing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Sharplink Q1 &amp; Q2 2026 Earnings — Q1 Revenue $12.1M, Net Loss $685.6M; Q2 Revenue $11.5M, Net Loss $394.3M; ETH Staking Revenue Dominant — StockTitan/Yahoo Finance/MarketBeat, May-August 2026</w:t>
      </w:r>
    </w:p>
    <w:p>
      <w:pPr>
        <w:spacing w:before="20" w:after="20"/>
        <w:ind w:left="170"/>
      </w:pPr>
      <w:r>
        <w:rPr>
          <w:rFonts w:ascii="Calibri" w:hAnsi="Calibri"/>
          <w:b/>
          <w:color w:val="4A6B25"/>
          <w:sz w:val="15"/>
        </w:rPr>
        <w:t xml:space="preserve">2. </w:t>
      </w:r>
      <w:r>
        <w:rPr>
          <w:rFonts w:ascii="Calibri" w:hAnsi="Calibri"/>
          <w:b w:val="0"/>
          <w:color w:val="3A4A28"/>
          <w:sz w:val="17"/>
        </w:rPr>
        <w:t>Sharplink Leadership &amp; Strategy — CEO Joseph Chalom (ex-BlackRock), Executive Chairman Joe Lubin (Ethereum co-founder), $170M Linea Layer 2 Commitment, ETH Treasury Platform Pivot — Barchart/Nasdaq/Decrypt, 2025-2026</w:t>
      </w:r>
    </w:p>
    <w:p>
      <w:pPr>
        <w:spacing w:before="20" w:after="20"/>
        <w:ind w:left="170"/>
      </w:pPr>
      <w:r>
        <w:rPr>
          <w:rFonts w:ascii="Calibri" w:hAnsi="Calibri"/>
          <w:b/>
          <w:color w:val="4A6B25"/>
          <w:sz w:val="15"/>
        </w:rPr>
        <w:t xml:space="preserve">3. </w:t>
      </w:r>
      <w:r>
        <w:rPr>
          <w:rFonts w:ascii="Calibri" w:hAnsi="Calibri"/>
          <w:b w:val="0"/>
          <w:color w:val="3A4A28"/>
          <w:sz w:val="17"/>
        </w:rPr>
        <w:t>Sharplink Market Commentary — Martin Shkreli Warning, ETH Verification Concerns, Dilution Analysis — TipRanks/StockTitan,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SBET Key Statistics: Price $8.18, Market Cap $1.78B, Forward P/E 68.17, ROE -183.6%, Revenue Growth 1,554%, Avg Volume 8.42M,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