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SBLK</w:t>
      </w:r>
      <w:r>
        <w:rPr>
          <w:rFonts w:ascii="Calibri" w:hAnsi="Calibri"/>
          <w:b/>
          <w:color w:val="1A2010"/>
          <w:sz w:val="40"/>
        </w:rPr>
        <w:t xml:space="preserve">  Star Bulk Carriers Corp.</w:t>
      </w:r>
    </w:p>
    <w:p>
      <w:pPr>
        <w:spacing w:after="120"/>
      </w:pPr>
      <w:r>
        <w:rPr>
          <w:rFonts w:ascii="Calibri" w:hAnsi="Calibri"/>
          <w:b/>
          <w:color w:val="6E8450"/>
          <w:sz w:val="18"/>
        </w:rPr>
        <w:t>DIVIDEND SLEEVE · 2026-09-17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Greece</w:t>
      </w:r>
    </w:p>
    <w:p>
      <w:pPr>
        <w:spacing w:after="80"/>
      </w:pPr>
      <w:r>
        <w:rPr>
          <w:rFonts w:ascii="Calibri" w:hAnsi="Calibri"/>
          <w:b w:val="0"/>
          <w:color w:val="3A4A28"/>
          <w:sz w:val="20"/>
        </w:rPr>
        <w:t>Star Bulk Carriers Corp. is a global dry bulk shipping company that owns and operates a diversified fleet of 138 vessels (Newcastlemax, Capesize, Post Panamax, Kamsarmax, Panamax, Ultramax, and Supramax) transporting iron ore, grain, bauxite, fertilizer, and steel products worldwide. Incorporated in 2006 and based in Marousi, Greece, the company is led by founder-CEO Petros Pappas and pays a variable quarterly dividend tied to earnings, reflecting the deep cyclicality of dry bulk freight rates.</w:t>
      </w:r>
    </w:p>
    <w:p>
      <w:r>
        <w:rPr>
          <w:rFonts w:ascii="Calibri" w:hAnsi="Calibri"/>
          <w:b/>
          <w:color w:val="6E8450"/>
          <w:sz w:val="18"/>
        </w:rPr>
        <w:t>294 Employees · https://www.starbulk.com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Petros Pappas's 12-year tenure, Star Bulk has consolidated into one of the largest and most diversified dry bulk fleets globally (138 vessels), and Q2 2026 voyage revenue rose 44% YoY to $357.4 million as freight rates recovered from a deep 2025 trough (FY2025 EPS fell to $0.73 from $2.85 in 2024) [1][2]. AI Deployment (1/2): The company has deployed a custom-built AI chatbot, off-the-shelf AI tools, and AI capabilities embedded in existing systems, and has completed an external AI-related cybersecurity risk assessment while developing responsible-AI-use policies — early-stage but genuinely underway [4]. Market Share (2/2): Star Bulk's scale and vessel-class diversification give it meaningful bargaining power and cost efficiency versus smaller, less diversified dry bulk operators. Product Pipeline (0/2): No material newbuild program or fleet-expansion pipeline was identified in the research window. R&amp;D Intensity (0/1): Dry bulk shipping is not R&amp;D-intensive; the company's green-corridor and fleet-efficiency investments are operational rather than R&amp;D in nature.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Moving essential global trade commodities (iron ore, grain, fertilizer, bauxite) supports food security and industrial supply chains, a legitimate but largely generic purpose shared across the dry bulk shipping sector. Community Impact (1/2): Star Bulk was the first dry bulk company worldwide to complete a Dry-BMSA audit with RightShip, established a board-level ESG Committee, and actively contributes to Green Corridor development ahead of pending shipping decarbonization regulation [5][6]. Employee Retention (1/2): Average management team tenure of 11.8 years and board tenure of 7.8 years indicate unusually strong leadership stability for a cyclical shipping company.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Star Bulk screens well on current fundamentals: D/E of 46.89% is comfortably below the 70% target (conservative leverage for shipping), profit margin of 23.87% and forward P/E of 8.67 both clear their targets, and revenue growth YoY of 44.5% reflects the 2026 freight-rate rebound [9]. The main drags are a negative 3-year revenue CAGR (2022-2025) of approximately -10.2%, reflecting the severity of the 2023-2025 freight-rate trough, and a highly volatile dividend — the 5-year dividend growth CAGR is deeply negative (annual payouts fell from $6.50/share in 2022 to $0.30/share in 2025 before rebounding in 2026) even though the company has paid some dividend every year since 2019 and the current payout ratio (40.4%) is conservative [1][9]. Liquidity clears the floor comfortably at roughly $45 million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Star Bulk's clearest infinite-game evidence is its variable-dividend capital allocation discipline — flexing payouts down during freight-rate troughs to protect the balance sheet rather than maintaining an unsustainable fixed dividend — combined with genuine ESG-forward positioning ahead of shipping decarbonization rules, tempered by the generic nature of the sector's underlying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Transporting essential bulk commodities supports global food security and industrial supply chains, a real but largely undifferentiated purpose within the dry bulk shipping sector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An average management tenure of 11.8 years and board tenure of 7.8 years is unusually stable for a cyclical shipping company, suggesting a durable, trust-based leadership culture rather than high turnover under pressure [4].</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Star Bulk competes in a fragmented dry bulk sector against Golden Ocean, Genco, Eagle Bulk, and Safe Bulkers, and CEO Pappas's public commentary on systemic risks (e.g., oil price spikes above $150/barrel damaging the global economy) suggests an awareness of macro forces that could reshape competitive dynamics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Star Bulk's deliberate strategy of leaving 40-50% of fleet days uncovered by fixed charters — rather than locking in maximal near-term revenue certainty — reflects a calculated bet on market cycles, and its early ESG-audit leadership (first Dry-BMSA/RightShip audit in dry bulk) anticipates coming decarbonization regulation rather than reacting to it [3][5].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Pappas's variable dividend policy — cutting payouts from $6.50/share in 2022 to $0.30/share in 2025 rather than maintaining an unsustainable fixed dividend through the freight-rate trough — reflects disciplined, if unglamorous, capital allocation courage that protects the long-term balance sheet over short-term investor optics [1][9].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Star Bulk is riding a sharp 2026 dry bulk freight-rate recovery, with Q2 2026 voyage revenue up 44% YoY to $357.4 million, adjusted EBITDA of $184.2 million, and full-year 2026 revenue guidance raised from $1.08B to $1.19B with EPS estimates raised from $3.42 to $3.62 — a projected 353% increase in net income versus the 2025 trough [1][2]. The balance sheet is conservatively levered (D/E 46.9%) for a shipping company, current valuation is cheap (forward P/E 8.67), and management's variable dividend policy (currently yielding 6.02% on a 40% payout ratio) preserves flexibility to weather the next downturn rather than over-committing to a fixed payout [9].</w:t>
      </w:r>
    </w:p>
    <w:p>
      <w:pPr>
        <w:spacing w:after="120"/>
      </w:pPr>
      <w:r>
        <w:rPr>
          <w:rFonts w:ascii="Calibri" w:hAnsi="Calibri"/>
          <w:b w:val="0"/>
          <w:color w:val="3A4A28"/>
          <w:sz w:val="20"/>
        </w:rPr>
        <w:t>The key risk embedded in the Infrastructure score is dry bulk's extreme cyclicality: the 5-year dividend growth CAGR is deeply negative (-39.6%) and the 3-year revenue CAGR is also negative (-10.2%), both reflecting the severe 2023-2025 freight-rate trough that preceded the current recovery. Investors are effectively underwriting continuation of the current up-cycle; a reversal in charter rates would quickly compress both earnings and the dividend again, as it has repeatedly over the company's history.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dry bulk freight-rate strength driving the raised FY2026 guidance ($1.19B revenue, $3.62 EPS estimate, +353% net income growth)</w:t>
      </w:r>
    </w:p>
    <w:p>
      <w:pPr>
        <w:spacing w:before="40" w:after="40"/>
        <w:ind w:left="283"/>
      </w:pPr>
      <w:r>
        <w:rPr>
          <w:rFonts w:ascii="Calibri" w:hAnsi="Calibri"/>
          <w:b/>
          <w:color w:val="4A6B25"/>
          <w:sz w:val="20"/>
        </w:rPr>
        <w:t xml:space="preserve">2. </w:t>
      </w:r>
      <w:r>
        <w:rPr>
          <w:rFonts w:ascii="Calibri" w:hAnsi="Calibri"/>
          <w:b w:val="0"/>
          <w:color w:val="3A4A28"/>
          <w:sz w:val="20"/>
        </w:rPr>
        <w:t>Dividend recovery tracking the earnings rebound, with Q3 2026 payout ($0.90/share) already well above the 2025 trough levels</w:t>
      </w:r>
    </w:p>
    <w:p>
      <w:pPr>
        <w:spacing w:before="40" w:after="40"/>
        <w:ind w:left="283"/>
      </w:pPr>
      <w:r>
        <w:rPr>
          <w:rFonts w:ascii="Calibri" w:hAnsi="Calibri"/>
          <w:b/>
          <w:color w:val="4A6B25"/>
          <w:sz w:val="20"/>
        </w:rPr>
        <w:t xml:space="preserve">3. </w:t>
      </w:r>
      <w:r>
        <w:rPr>
          <w:rFonts w:ascii="Calibri" w:hAnsi="Calibri"/>
          <w:b w:val="0"/>
          <w:color w:val="3A4A28"/>
          <w:sz w:val="20"/>
        </w:rPr>
        <w:t>First-mover ESG positioning (Dry-BMSA audit, Green Corridor participation) ahead of tightening shipping decarbonization regulation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freight-rate cyclicality historically driving dividend swings from $6.50/share (2022) to $0.30/share (2025), a pattern likely to recur in the next downturn</w:t>
      </w:r>
    </w:p>
    <w:p>
      <w:pPr>
        <w:spacing w:before="40" w:after="40"/>
        <w:ind w:left="283"/>
      </w:pPr>
      <w:r>
        <w:rPr>
          <w:rFonts w:ascii="Calibri" w:hAnsi="Calibri"/>
          <w:b/>
          <w:color w:val="4A6B25"/>
          <w:sz w:val="20"/>
        </w:rPr>
        <w:t xml:space="preserve">2. </w:t>
      </w:r>
      <w:r>
        <w:rPr>
          <w:rFonts w:ascii="Calibri" w:hAnsi="Calibri"/>
          <w:b w:val="0"/>
          <w:color w:val="3A4A28"/>
          <w:sz w:val="20"/>
        </w:rPr>
        <w:t>Deliberately low fixed-charter coverage (40-50% of fleet days) that maximizes upside capture but also increases earnings volatility versus more conservatively chartered peers</w:t>
      </w:r>
    </w:p>
    <w:p>
      <w:pPr>
        <w:spacing w:before="40" w:after="40"/>
        <w:ind w:left="283"/>
      </w:pPr>
      <w:r>
        <w:rPr>
          <w:rFonts w:ascii="Calibri" w:hAnsi="Calibri"/>
          <w:b/>
          <w:color w:val="4A6B25"/>
          <w:sz w:val="20"/>
        </w:rPr>
        <w:t xml:space="preserve">3. </w:t>
      </w:r>
      <w:r>
        <w:rPr>
          <w:rFonts w:ascii="Calibri" w:hAnsi="Calibri"/>
          <w:b w:val="0"/>
          <w:color w:val="3A4A28"/>
          <w:sz w:val="20"/>
        </w:rPr>
        <w:t>Macro demand risk flagged by CEO Pappas himself, including the potential for an oil price spike above $150/barrel to damage global trade volumes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Dry bulk shipping is a physical, capital-asset-driven business — moving iron ore, grain, and fertilizer requires vessels, ports, and crews that AI cannot substitute — making the core value proposition structurally insulated from the white-collar automation risk facing knowledge-work industries [1]. AI Opportunity Tiebreaker (1/1): Star Bulk is proactively deploying AI as an efficiency enabler across internal systems (custom chatbot, embedded AI tools, AI-related cybersecurity risk assessment) rather than treating it as a threat, positioning it to capture back-office cost savings without any exposure to AI-driven demand destruction for its core service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Star Bulk Carriers Corp. Form 6-K, SEC EDGAR, 2026</w:t>
      </w:r>
    </w:p>
    <w:p>
      <w:pPr>
        <w:spacing w:before="20" w:after="20"/>
        <w:ind w:left="170"/>
      </w:pPr>
      <w:r>
        <w:rPr>
          <w:rFonts w:ascii="Calibri" w:hAnsi="Calibri"/>
          <w:b/>
          <w:color w:val="4A6B25"/>
          <w:sz w:val="15"/>
        </w:rPr>
        <w:t xml:space="preserve">2. </w:t>
      </w:r>
      <w:r>
        <w:rPr>
          <w:rFonts w:ascii="Calibri" w:hAnsi="Calibri"/>
          <w:b w:val="0"/>
          <w:color w:val="3A4A28"/>
          <w:sz w:val="17"/>
        </w:rPr>
        <w:t>Star Bulk Carriers (SBLK) Earnings Expected to Grow: What to Know Ahead of Next Week's Release,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Is Star Bulk Carriers (SBLK) Poised for a Strong Q1 2026 Earnings Beat, Kavout, 2026</w:t>
      </w:r>
    </w:p>
    <w:p>
      <w:pPr>
        <w:spacing w:before="20" w:after="20"/>
        <w:ind w:left="170"/>
      </w:pPr>
      <w:r>
        <w:rPr>
          <w:rFonts w:ascii="Calibri" w:hAnsi="Calibri"/>
          <w:b/>
          <w:color w:val="4A6B25"/>
          <w:sz w:val="15"/>
        </w:rPr>
        <w:t xml:space="preserve">4. </w:t>
      </w:r>
      <w:r>
        <w:rPr>
          <w:rFonts w:ascii="Calibri" w:hAnsi="Calibri"/>
          <w:b w:val="0"/>
          <w:color w:val="3A4A28"/>
          <w:sz w:val="17"/>
        </w:rPr>
        <w:t>Star Bulk Carriers Corp. (SBLK) Leadership &amp; Management Team Analysis, Simply Wall St, 2026</w:t>
      </w:r>
    </w:p>
    <w:p>
      <w:pPr>
        <w:spacing w:before="20" w:after="20"/>
        <w:ind w:left="170"/>
      </w:pPr>
      <w:r>
        <w:rPr>
          <w:rFonts w:ascii="Calibri" w:hAnsi="Calibri"/>
          <w:b/>
          <w:color w:val="4A6B25"/>
          <w:sz w:val="15"/>
        </w:rPr>
        <w:t xml:space="preserve">5. </w:t>
      </w:r>
      <w:r>
        <w:rPr>
          <w:rFonts w:ascii="Calibri" w:hAnsi="Calibri"/>
          <w:b w:val="0"/>
          <w:color w:val="3A4A28"/>
          <w:sz w:val="17"/>
        </w:rPr>
        <w:t>Star Bulk Announces Its 2022 Environmental, Social and Governance (ESG) Report, StreetInsider/GlobeNewswire</w:t>
      </w:r>
    </w:p>
    <w:p>
      <w:pPr>
        <w:spacing w:before="20" w:after="20"/>
        <w:ind w:left="170"/>
      </w:pPr>
      <w:r>
        <w:rPr>
          <w:rFonts w:ascii="Calibri" w:hAnsi="Calibri"/>
          <w:b/>
          <w:color w:val="4A6B25"/>
          <w:sz w:val="15"/>
        </w:rPr>
        <w:t xml:space="preserve">6. </w:t>
      </w:r>
      <w:r>
        <w:rPr>
          <w:rFonts w:ascii="Calibri" w:hAnsi="Calibri"/>
          <w:b w:val="0"/>
          <w:color w:val="3A4A28"/>
          <w:sz w:val="17"/>
        </w:rPr>
        <w:t>Environmental Social and Governance (ESG) Report 2024, starbulk.com</w:t>
      </w:r>
    </w:p>
    <w:p>
      <w:pPr>
        <w:spacing w:before="20" w:after="20"/>
        <w:ind w:left="170"/>
      </w:pPr>
      <w:r>
        <w:rPr>
          <w:rFonts w:ascii="Calibri" w:hAnsi="Calibri"/>
          <w:b/>
          <w:color w:val="4A6B25"/>
          <w:sz w:val="15"/>
        </w:rPr>
        <w:t xml:space="preserve">7. </w:t>
      </w:r>
      <w:r>
        <w:rPr>
          <w:rFonts w:ascii="Calibri" w:hAnsi="Calibri"/>
          <w:b w:val="0"/>
          <w:color w:val="3A4A28"/>
          <w:sz w:val="17"/>
        </w:rPr>
        <w:t>yfinance — SBLK key statistics and full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