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SBSW</w:t>
      </w:r>
      <w:r>
        <w:rPr>
          <w:rFonts w:ascii="Calibri" w:hAnsi="Calibri"/>
          <w:b/>
          <w:color w:val="1A2010"/>
          <w:sz w:val="40"/>
        </w:rPr>
        <w:t xml:space="preserve">  Sibanye Stillwater Limited</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NYQ · South Africa</w:t>
      </w:r>
    </w:p>
    <w:p>
      <w:pPr>
        <w:spacing w:after="80"/>
      </w:pPr>
      <w:r>
        <w:rPr>
          <w:rFonts w:ascii="Calibri" w:hAnsi="Calibri"/>
          <w:b w:val="0"/>
          <w:color w:val="3A4A28"/>
          <w:sz w:val="20"/>
        </w:rPr>
        <w:t>Sibanye Stillwater is the world's largest primary producer of platinum group metals (PGMs), a significant South African gold miner, and an emerging green metals player through its Keliber lithium project in Finland and recycling operations. The company operates deep-level mines in South Africa's Witwatersrand Basin, PGM operations in Rustenburg and Montana (US). H1 2026 group revenue surged 64% YoY to R90B with adjusted EBITDA of R31.8B, driven by 67% higher 4E PGM basket prices. The company returned to R18.8B profit after prior-year losses and declared an R5.7B interim dividend.</w:t>
      </w:r>
    </w:p>
    <w:p>
      <w:r>
        <w:rPr>
          <w:rFonts w:ascii="Calibri" w:hAnsi="Calibri"/>
          <w:b/>
          <w:color w:val="6E8450"/>
          <w:sz w:val="18"/>
        </w:rPr>
        <w:t>84,000 Employees · https://www.sibanyestillwater.com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Sibanye executed a transformative diversification from a South African gold-only miner (Sibanye Gold, founded 2013) into a global precious metals and battery metals producer through the $2.2B Stillwater Mining acquisition in 2017, the Keliber lithium project in Finland (construction completed 2026), and the New Century zinc operation in Australia [1][2]. This represents genuine multi-commodity, multi-geography transformation. AI Deployment (1/2): The company adopted innovation as a sixth corporate value (iCARES) in 2022 and expanded the CTO role to include innovation; CEO Froneman discussed AI and automation as tools to reduce manual tasks and improve operational efficiency in mining, though no specific AI-driven cost savings or revenue have been quantified [2]. Market Share (1/2): Sibanye-Stillwater is the world's largest primary PGM producer and a top-tier gold producer in South Africa, with the SA PGM business delivering R19.2B EBITDA in H1 2026 on 302% growth; however, the company competes intensely with Anglo American Platinum and Impala Platinum for PGM leadership [1]. Product Pipeline (1/2): The Burnstone gold mine expansion targets 130,000 oz/year at steady state, and the Keliber lithium project advances toward production, providing visible growth catalysts with specific timelines [1]. R&amp;D Intensity (0/1): Mining R&amp;D spend is not separately disclosed and falls below sector averages for a company of this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Sibanye-Stillwater's stated purpose centers on 'improving lives through our mining activities,' supported by the iCARES values framework (Innovation, Care, Accountability, Respect, Enabling, Safety) and the 'Umdoni tree' stakeholder model that visualizes communities, unions, shareholders, and employees as branches of equal importance [2][3]. The mission is clear and somewhat distinctive for a mining company but describes stakeholder management rather than a transformative vision of a better future. Community Impact (1/2): As one of South Africa's largest private-sector employers with approximately 84,000 workers, the company operates extensive Social and Labour Plans mandated by the SA Mining Charter, including community infrastructure development and local procurement [3][4]. Specific dollar amounts for charitable programs were not found. Employee Retention (1/2): Founding CEO Neal Froneman served 12 years (2013-2025) before a planned, orderly succession to Richard Stewart via an independent board process, signaling organizational maturity and leadership continuity [2]. Froneman described his role as 'chief enabling officer' emphasizing team empowerment. Insider Buying (0/2): No evidence of meaningful net insider buying by executives in the last 12 months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Sibanye-Stillwater's cyclical recovery produces exceptional current-period metrics: D/E of 63.1% is below the 70% target (score 1.0), reflecting 20% gross debt reduction to R32.1B and net debt halving to R9.7B with net-debt-to-EBITDA of just 0.18x [1]. ROE of 34.7% (score 1.0, 2x weight) reflects the dramatic profit recovery from prior-year losses to R18.8B profit in H1 2026. Revenue growth of 64.3% YoY (score 1.0) is driven by 67% higher 4E PGM basket prices and steady production. Forward P/E of 2.9x (score 1.0) reflects the market's expectation that current earnings are cyclically elevated. Profit margin of 9.8% is the only drag (score 0.49), reflecting the capital-intensive nature of underground mining [1]. PEG ratio and 5yr revenue CAGR are unavailable and excluded. Daily dollar volume of $51M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Sibanye-Stillwater shows strategic ambition through its transformation from a South African gold miner to a diversified global precious metals and battery metals producer, but the company's competitive framing remains largely finite — driven by production volumes, cost curves, and commodity price optimization rather than an enduring purpose that transcends market cycles. The orderly CEO succession from Froneman to Stewart shows organizational maturity, but the company's diversification moves have been more opportunistic (acquiring assets at cycle troughs) than purpose-driven in a Sinek sense.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Sibanye-Stillwater's purpose — 'improving lives through our mining activities' — exists but reads as a social license obligation rather than a Just Cause that shapes strategic decisions [3]. The Umdoni tree stakeholder model and iCARES values add structure, but Sinek would note that the company's major strategic moves — acquiring Stillwater, entering lithium, expanding into zinc — were driven by commodity price opportunities and portfolio diversification logic rather than by a vision of a better future. The purpose is interchangeable with most mining peers.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CEO succession from Froneman to Richard Stewart was executed through an independent board process considering internal and external candidates, signaling organizational maturity [2]. Froneman's self-description as 'chief enabling officer' who 'surrounds himself with good people' suggests a collaborative leadership philosophy. However, South African deep-level mining operations carry inherent labor tensions and safety risks, and no specific voluntary turnover or employee engagement data was found to distinguish the company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available research. Sibanye-Stillwater's competitive positioning emphasizes being the 'world's largest' PGM producer and gaining share through acquisitions — finite game language focused on size and dominance [1]. No management commentary references learning from rivals like Anglo American Platinum or Impala Platinum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Sibanye evolved significantly from Sibanye Gold (2013, gold-only SA miner) to Sibanye-Stillwater (global diversified precious metals and battery metals producer) through acquisitions spanning PGMs, lithium, zinc, and nickel across South Africa, the US, Finland, and Australia [1][2]. This represents meaningful strategic adaptation. However, the pivots were incremental portfolio additions through M&amp;A rather than a transformative reinvention driven by a Just Cause — the company added businesses rather than fundamentally rethinking its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Neal Froneman demonstrated willingness to make bold, costly bets: the $2.2B Stillwater acquisition in 2017 when PGM prices were depressed, the Keliber lithium investment, and maintaining operations through the devastating 2023-2024 PGM price trough rather than shutting mines [1][2]. However, some bets were poorly timed — the battery metals diversification into lithium came just before lithium prices collapsed — and the dividend was suspended during the downturn, a finite-game concession to financial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Sibanye-Stillwater at $9.95 is a deep-value cyclical play executing a powerful earnings recovery — H1 2026 revenue surged 64% to R90B with adjusted EBITDA more than doubling to R31.8B, driven by a 67% increase in 4E PGM basket prices and steady production output [1]. The balance sheet has improved dramatically with net debt halving to R9.7B (0.18x net-debt-to-EBITDA), enabling an R5.7B interim dividend. At just 2.9x forward earnings with 8.1% dividend yield, the stock prices in significant earnings decline, offering deep value if PGM prices sustain. The Burnstone gold mine expansion adds 130,000 oz/yr of gold production at a time when gold prices exceed $2,600/oz, and the Keliber lithium project enters production to diversify into European EV battery supply chains [1].</w:t>
      </w:r>
    </w:p>
    <w:p>
      <w:pPr>
        <w:spacing w:after="120"/>
      </w:pPr>
      <w:r>
        <w:rPr>
          <w:rFonts w:ascii="Calibri" w:hAnsi="Calibri"/>
          <w:b w:val="0"/>
          <w:color w:val="3A4A28"/>
          <w:sz w:val="20"/>
        </w:rPr>
        <w:t>The bear case centers on commodity cyclicality and structural PGM risks. The current earnings surge is almost entirely price-driven — the 67% increase in PGM basket prices inflates all profitability metrics, and a price reversion toward 2023-2024 levels would collapse margins given the high fixed-cost base of underground mining [1]. The forward P/E of 2.9x reflects the market's expectation that peak-cycle earnings are unsustainable — the company posted massive losses just two years ago. PGM demand faces long-term structural headwinds from EV adoption reducing catalytic converter demand. South African operations carry sovereign risks including Eskom power instability, above-inflation labor cost escalation (mining unions typically secure 7-9% annual increases), and regulatory uncertainty around the Mining Charter [4]. The CEO transition from Froneman to Stewart introduces execution risk during a critical recovery period, and the battery metals diversification has produced mixed results with the Keliber lithium project facing cost overruns amid lithium market oversupply.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PGM price strength driven by autocatalyst demand recovery and structural supply deficits from South African mine closures — the 67% YoY increase in 4E basket prices could persist as above-ground inventories deplete, with H1 2026 SA PGM EBITDA surging 302% to R19.2B [1]</w:t>
      </w:r>
    </w:p>
    <w:p>
      <w:pPr>
        <w:spacing w:before="40" w:after="40"/>
        <w:ind w:left="283"/>
      </w:pPr>
      <w:r>
        <w:rPr>
          <w:rFonts w:ascii="Calibri" w:hAnsi="Calibri"/>
          <w:b/>
          <w:color w:val="4A6B25"/>
          <w:sz w:val="20"/>
        </w:rPr>
        <w:t xml:space="preserve">2. </w:t>
      </w:r>
      <w:r>
        <w:rPr>
          <w:rFonts w:ascii="Calibri" w:hAnsi="Calibri"/>
          <w:b w:val="0"/>
          <w:color w:val="3A4A28"/>
          <w:sz w:val="20"/>
        </w:rPr>
        <w:t>Burnstone gold mine reaching steady-state production of 130,000 oz/yr at gold prices exceeding $2,600/oz, adding a high-margin production stream alongside the existing SA gold business that contributed strong EBITDA in H1 2026 [1]</w:t>
      </w:r>
    </w:p>
    <w:p>
      <w:pPr>
        <w:spacing w:before="40" w:after="40"/>
        <w:ind w:left="283"/>
      </w:pPr>
      <w:r>
        <w:rPr>
          <w:rFonts w:ascii="Calibri" w:hAnsi="Calibri"/>
          <w:b/>
          <w:color w:val="4A6B25"/>
          <w:sz w:val="20"/>
        </w:rPr>
        <w:t xml:space="preserve">3. </w:t>
      </w:r>
      <w:r>
        <w:rPr>
          <w:rFonts w:ascii="Calibri" w:hAnsi="Calibri"/>
          <w:b w:val="0"/>
          <w:color w:val="3A4A28"/>
          <w:sz w:val="20"/>
        </w:rPr>
        <w:t>Balance sheet transformation — net debt halving to R9.7B with 0.18x net-debt-to-EBITDA and gross debt declining 20% enables increased shareholder returns through the R5.7B interim dividend and potential buybacks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PGM price reversion risk — the 64% revenue surge is almost entirely commodity-price-driven, and PGM prices could retrace toward 2023-2024 trough levels if autocatalyst demand weakens or secondary supply increases, collapsing the R31.8B EBITDA base just as it did two years ago [1]</w:t>
      </w:r>
    </w:p>
    <w:p>
      <w:pPr>
        <w:spacing w:before="40" w:after="40"/>
        <w:ind w:left="283"/>
      </w:pPr>
      <w:r>
        <w:rPr>
          <w:rFonts w:ascii="Calibri" w:hAnsi="Calibri"/>
          <w:b/>
          <w:color w:val="4A6B25"/>
          <w:sz w:val="20"/>
        </w:rPr>
        <w:t xml:space="preserve">2. </w:t>
      </w:r>
      <w:r>
        <w:rPr>
          <w:rFonts w:ascii="Calibri" w:hAnsi="Calibri"/>
          <w:b w:val="0"/>
          <w:color w:val="3A4A28"/>
          <w:sz w:val="20"/>
        </w:rPr>
        <w:t>Structural PGM demand headwind from the EV transition — as internal combustion engine production decreases globally, catalytic converter demand for platinum, palladium, and rhodium faces secular decline that no amount of cost optimization can offset [1]</w:t>
      </w:r>
    </w:p>
    <w:p>
      <w:pPr>
        <w:spacing w:before="40" w:after="40"/>
        <w:ind w:left="283"/>
      </w:pPr>
      <w:r>
        <w:rPr>
          <w:rFonts w:ascii="Calibri" w:hAnsi="Calibri"/>
          <w:b/>
          <w:color w:val="4A6B25"/>
          <w:sz w:val="20"/>
        </w:rPr>
        <w:t xml:space="preserve">3. </w:t>
      </w:r>
      <w:r>
        <w:rPr>
          <w:rFonts w:ascii="Calibri" w:hAnsi="Calibri"/>
          <w:b w:val="0"/>
          <w:color w:val="3A4A28"/>
          <w:sz w:val="20"/>
        </w:rPr>
        <w:t>South African sovereign and operational risks including Eskom load-shedding disruptions, above-inflation wage escalation from powerful mining unions, regulatory uncertainty around the Mining Charter, and ZAR currency volatility affecting USD-reported results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Sibanye-Stillwater's core business — deep-level underground and surface mining of PGMs, gold, and battery metals — is structurally immune to AI disruption. Mining requires physical-world operations including drilling, blasting, milling, and smelting in geologically complex environments that AI cannot replace [1][2]. Regulatory requirements for mine safety, environmental compliance, and community engagement create additional barriers. PGM demand may benefit from AI infrastructure buildout as data centers require advanced cooling and electrical components using platinum-group metals. The Keliber lithium project positions the company as a supplier to the energy transition rather than a victim of AI disruption. AI Opportunity (0/1): Sibanye-Stillwater generates no revenue from AI products or services. CEO Froneman discussed AI as a tool for operational efficiency in mining, but no quantifiable AI revenue stream exists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Sibanye-Stillwater H1 2026 Results — Revenue R90B (+64% YoY), Adjusted EBITDA R31.8B, R5.7B Dividend Declared, SA PGM EBITDA +302% — Engineering News, Mining Weekly, SEC Form 6-K, September 2026</w:t>
      </w:r>
    </w:p>
    <w:p>
      <w:pPr>
        <w:spacing w:before="20" w:after="20"/>
        <w:ind w:left="170"/>
      </w:pPr>
      <w:r>
        <w:rPr>
          <w:rFonts w:ascii="Calibri" w:hAnsi="Calibri"/>
          <w:b/>
          <w:color w:val="4A6B25"/>
          <w:sz w:val="15"/>
        </w:rPr>
        <w:t xml:space="preserve">2. </w:t>
      </w:r>
      <w:r>
        <w:rPr>
          <w:rFonts w:ascii="Calibri" w:hAnsi="Calibri"/>
          <w:b w:val="0"/>
          <w:color w:val="3A4A28"/>
          <w:sz w:val="17"/>
        </w:rPr>
        <w:t>McKinsey Interview with Neal Froneman and Leadership Transition — 'Chief Enabling Officer' Philosophy, iCARES Values, CEO Succession to Richard Stewart — McKinsey, Crown Mining, 2022-2025</w:t>
      </w:r>
    </w:p>
    <w:p>
      <w:pPr>
        <w:spacing w:before="20" w:after="20"/>
        <w:ind w:left="170"/>
      </w:pPr>
      <w:r>
        <w:rPr>
          <w:rFonts w:ascii="Calibri" w:hAnsi="Calibri"/>
          <w:b/>
          <w:color w:val="4A6B25"/>
          <w:sz w:val="15"/>
        </w:rPr>
        <w:t xml:space="preserve">3. </w:t>
      </w:r>
      <w:r>
        <w:rPr>
          <w:rFonts w:ascii="Calibri" w:hAnsi="Calibri"/>
          <w:b w:val="0"/>
          <w:color w:val="3A4A28"/>
          <w:sz w:val="17"/>
        </w:rPr>
        <w:t>Sibanye-Stillwater Corporate Website — Mission, iCARES Values, Umdoni Tree Stakeholder Model — sibanyestillwater.com,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Sibanye-Stillwater FY2025 Form 20-F — ESG Risk Disclosures, South African Operational Risks, Mining Charter Compliance — SEC Filing,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