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SDGR</w:t>
      </w:r>
      <w:r>
        <w:rPr>
          <w:rFonts w:ascii="Calibri" w:hAnsi="Calibri"/>
          <w:b/>
          <w:color w:val="1A2010"/>
          <w:sz w:val="40"/>
        </w:rPr>
        <w:t xml:space="preserve">  Schrodinger, Inc.</w:t>
      </w:r>
    </w:p>
    <w:p>
      <w:pPr>
        <w:spacing w:after="120"/>
      </w:pPr>
      <w:r>
        <w:rPr>
          <w:rFonts w:ascii="Calibri" w:hAnsi="Calibri"/>
          <w:b/>
          <w:color w:val="6E8450"/>
          <w:sz w:val="18"/>
        </w:rPr>
        <w:t>GROWTH SLEEVE · 2026-09-22 · Inspire: 24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NASDAQ · United States</w:t>
      </w:r>
    </w:p>
    <w:p>
      <w:pPr>
        <w:spacing w:after="80"/>
      </w:pPr>
      <w:r>
        <w:rPr>
          <w:rFonts w:ascii="Calibri" w:hAnsi="Calibri"/>
          <w:b w:val="0"/>
          <w:color w:val="3A4A28"/>
          <w:sz w:val="20"/>
        </w:rPr>
        <w:t>Schrodinger develops a physics-based computational platform that enables discovery of novel molecules for drug development and materials science applications. Founded in 1990, the company operates in two segments: Software (computational chemistry tools sold to pharma, biotech, and materials companies) and Drug Discovery (internal and collaborative drug programs). CEO Ramy Farid leads a team of 850. In Q2 2026, ACV surged 27% YoY driven by the launch of Bunsen, an agentic AI product for automated molecular discovery workflows. The company reported its first quarterly net income ($6M) in Q2 2026, signaling a potential profitability inflection after years of investment.</w:t>
      </w:r>
    </w:p>
    <w:p>
      <w:r>
        <w:rPr>
          <w:rFonts w:ascii="Calibri" w:hAnsi="Calibri"/>
          <w:b/>
          <w:color w:val="6E8450"/>
          <w:sz w:val="18"/>
        </w:rPr>
        <w:t>850 Employees · https://www.schrodinger.com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Schrodinger has executed multiple successful strategic pivots in recent years — launching the Drug Discovery segment alongside its legacy software business, transitioning to throughput-based licensing models, and launching Bunsen (an agentic AI product) that automates molecular discovery workflows [1]. The Drug Discovery segment generated $23M in Q2 2026 revenue (up from $13.9M in Q2 2025), including a $10M milestone from Ajax Therapeutics, demonstrating successful commercialization of the platform approach [1]. AI Deployment (2/2): The entire platform is physics+AI based, and the Bunsen launch represents a next-generation agentic AI product shipping to customers with measurable impact — Q2 2026 ACV surged 27% YoY driven by Bunsen adoption across large pharma, biotech, and materials science customers [1]. The company achieved its first net income quarter ($6M in Q2 2026 vs -$43M loss in Q2 2025). Market Share (2/2): Schrodinger is the dominant player in physics-based computational drug discovery, with partnerships spanning major pharma companies (Novartis collaboration) and NVIDIA's Jensen Huang publicly citing Schrodinger as a key biotech partner [2]. No competitor has replicated the physics+ML hybrid approach at comparable scale. Product Pipeline (1/2): Bunsen launched in 2026 with clear customer adoption metrics. Drug discovery collaborations provide pipeline visibility (Ajax milestone, clinical programs). However, specific next-gen platform products beyond Bunsen lack named timelines [1]. R&amp;D Intensity (1/1): R&amp;D spending is the primary reason for historical losses — the company invested heavily in platform development for years while loss-making, reflecting top-quartile R&amp;D intensity relative to revenue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Schrodinger's mission to 'improve human health and quality of life by transforming the way therapeutics and materials are discovered' is specific, thoughtful, and connects computational science to human health impact [2]. The company has pursued this mission consistently since 1990 (36 years), through multiple technology cycles, demonstrating genuine intentionality. However, it has not yet been validated by the transformative patient outcomes that would push it to a 4. Community Impact (0/2): No evidence of significant charitable programs, foundation activities, or community investment beyond the company's core business mission. With 850 employees and historical losses, philanthropic capacity is limited [2]. Employee Retention (0/2): No specific employee retention or tenure data is publicly available. CEO Ramy Farid has long tenure, and the scientific culture likely attracts mission-driven talent, but no quantifiable evidence was found. Insider Buying (0/2): Recent insider data shows net selling — officer sales ($928K sale by Karen Akinsanya-Akiwumi, smaller sales by CFO) and a stock gift by founder Richard Friesner, with no evidence of meaningful open-market purchases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several metrics excluded or at floor due to unprofitability. D/E of 32.8% is well below the 70% target, scoring 1.0 — the balance sheet is conservatively managed [4]. Revenue growth YoY of 7.5% falls slightly below the 10% target, though this understates the ACV growth of 27% due to revenue recognition timing. Estimated 5yr revenue CAGR of ~12% based on growth from $181M (FY2022) to $256M (FY2025). ROE of -16.2% scores 0 (below the 0% floor), reflecting ongoing investment losses despite Q2 2026's first positive quarter. Profit margin of -21.0% scores 0. Forward P/E of -22.4 (negative earnings) is treated as above the 60x floor, scoring 0. PEG ratio is unavailable (null). The infrastructure score reflects the tension between a conservatively capitalized platform business with strong growth trajectory and the reality of persistent unprofitability. Liquidity is adequate at ~$44M average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Schrodinger has pursued its computational drug discovery mission for 36 years with remarkable consistency through multiple technology cycles — from molecular dynamics through quantum mechanics to machine learning and now agentic AI. CEO Ramy Farid's long tenure and the company's willingness to invest through years of losses demonstrate genuine long-term orientation. However, the company is too small and too young in its commercial trajectory to have been fully tested through existential crises, and its competitive positioning is under increasing pressure from well-capitalized AI-native competitors.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Transforming drug discovery through computational science has been Schrodinger's animating purpose since 1990 — a 36-year commitment that has survived the dot-com crash, multiple funding cycles, and technological paradigm shifts [2]. The vision of replacing expensive, slow wet-lab experimentation with physics-based computation serves humanity by accelerating therapeutic development. Strategic decisions trace back to this purpose (investing through losses, building internal drug programs to validate the platform). However, the cause hasn't yet been proven through a transformative patient outcome (no approved drug from the platform), which limits validation.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Schrodinger's 850-person workforce combines computational scientists, drug discovery researchers, and software engineers in a deeply technical culture. CEO Ramy Farid's long tenure suggests leadership stability, and the scientific mission likely creates intrinsic motivation [2]. However, no specific data on employee retention, tenure, or cultural practices was found, and the small size limits the organizational complexity that tests trust at scale.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Schrodinger explicitly acknowledges competitors' strengths and uses competitive pressure for self-improvement. The embrace of AI (launching Bunsen, integrating ML into the physics platform) was partly in response to the rise of pure-play AI drug discovery competitors like DeepMind and Recursion [2]. CEO Farid has evolved the company's strategy to incorporate AI capabilities rather than dismissing the threat, demonstrating the kind of competitive learning Sinek values.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Schrodinger has evolved from a pure software licensing company to a hybrid software + drug discovery business, adding internal drug programs and collaborations that change the company's risk/reward profile fundamentally [1]. The transition to throughput-based licensing and launch of Bunsen (agentic AI) represent meaningful business model adaptations. However, these are evolutionary changes within computational chemistry, not transformative reinventions of the company's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Schrodinger invested heavily in R&amp;D for decades while remaining unprofitable, prioritizing platform development over near-term earnings [1]. The decision to build internal drug discovery programs (accepting clinical trial risk) rather than remaining a pure software company shows willingness to bet on long-term capability. However, the company's small scale means these bets, while courageous relative to its size, lack the magnitude of larger companies' long-term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Schrodinger at $30.24 offers a rare pure-play on the physics+AI computational drug discovery revolution, with Q2 2026 marking a potential inflection point — first quarterly net income ($6M vs -$43M loss), ACV surging 27% YoY on Bunsen (agentic AI) adoption, and drug discovery revenue reaching $23M including a $10M Ajax Therapeutics milestone [1]. The company's 36-year investment in proprietary force fields and computational chemistry creates a defensible technology moat that pure ML approaches have not replicated, evidenced by NVIDIA CEO Jensen Huang publicly citing Schrodinger as a key partner [2]. The addressable market is expanding as pharma companies increasingly adopt computational methods to reduce the $2.6B average cost per approved drug. Full-year 2026 ACV guidance of $218M-$228M (10-15% growth) may prove conservative given Q2's 27% pace.</w:t>
      </w:r>
    </w:p>
    <w:p>
      <w:pPr>
        <w:spacing w:after="120"/>
      </w:pPr>
      <w:r>
        <w:rPr>
          <w:rFonts w:ascii="Calibri" w:hAnsi="Calibri"/>
          <w:b w:val="0"/>
          <w:color w:val="3A4A28"/>
          <w:sz w:val="20"/>
        </w:rPr>
        <w:t>The bear case centers on sustained unprofitability, competitive intensity, and clinical risk. Despite Q2 2026's first profitable quarter, the company remains loss-making on a trailing basis with -21% profit margin and -16.2% ROE [4]. Forward consensus expects continued losses (forward EPS -$1.35), and the negative forward P/E reflects market skepticism about the profitability path. The competitive landscape is intensifying — DeepMind's AlphaFold, Recursion Pharmaceuticals, and Insilico Medicine are well-capitalized competitors advancing AI-driven drug discovery, and large pharma companies are building internal computational capabilities that could reduce demand for Schrodinger's platform [2]. Drug discovery revenue is lumpy (the $10M Ajax milestone may not recur quarterly), and Schrodinger's internal clinical programs carry binary risk — a clinical failure could impair sentiment significantly. Revenue growth of 7.5% YoY (GAAP basis) understates ACV momentum but reflects the accounting reality investors price against.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Bunsen agentic AI product driving ACV acceleration — Q2 2026 ACV surged 27% YoY with broad-based adoption across large pharma, biotech, and materials science customers, potentially lifting full-year ACV above the $218M-$228M guidance range [1]</w:t>
      </w:r>
    </w:p>
    <w:p>
      <w:pPr>
        <w:spacing w:before="40" w:after="40"/>
        <w:ind w:left="283"/>
      </w:pPr>
      <w:r>
        <w:rPr>
          <w:rFonts w:ascii="Calibri" w:hAnsi="Calibri"/>
          <w:b/>
          <w:color w:val="4A6B25"/>
          <w:sz w:val="20"/>
        </w:rPr>
        <w:t xml:space="preserve">2. </w:t>
      </w:r>
      <w:r>
        <w:rPr>
          <w:rFonts w:ascii="Calibri" w:hAnsi="Calibri"/>
          <w:b w:val="0"/>
          <w:color w:val="3A4A28"/>
          <w:sz w:val="20"/>
        </w:rPr>
        <w:t>Profitability inflection — Q2 2026 net income of $6M (vs -$43M loss in Q2 2025) signals operating leverage as software revenue scales; sustained profitability would fundamentally re-rate the stock from a loss-making growth play to a profitable platform [1]</w:t>
      </w:r>
    </w:p>
    <w:p>
      <w:pPr>
        <w:spacing w:before="40" w:after="40"/>
        <w:ind w:left="283"/>
      </w:pPr>
      <w:r>
        <w:rPr>
          <w:rFonts w:ascii="Calibri" w:hAnsi="Calibri"/>
          <w:b/>
          <w:color w:val="4A6B25"/>
          <w:sz w:val="20"/>
        </w:rPr>
        <w:t xml:space="preserve">3. </w:t>
      </w:r>
      <w:r>
        <w:rPr>
          <w:rFonts w:ascii="Calibri" w:hAnsi="Calibri"/>
          <w:b w:val="0"/>
          <w:color w:val="3A4A28"/>
          <w:sz w:val="20"/>
        </w:rPr>
        <w:t>Drug discovery milestone catalysts from collaborative partnerships (Ajax Therapeutics, Novartis) and advancement of internal clinical programs, each potentially triggering non-dilutive funding and market validation of the platform's therapeutic potential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unprofitability — trailing profit margin of -21% and forward EPS of -$1.35 despite Q2 2026's first positive quarter, with risk that profitability was driven by lumpy milestone revenue ($10M Ajax payment) rather than structural operating leverage [1]</w:t>
      </w:r>
    </w:p>
    <w:p>
      <w:pPr>
        <w:spacing w:before="40" w:after="40"/>
        <w:ind w:left="283"/>
      </w:pPr>
      <w:r>
        <w:rPr>
          <w:rFonts w:ascii="Calibri" w:hAnsi="Calibri"/>
          <w:b/>
          <w:color w:val="4A6B25"/>
          <w:sz w:val="20"/>
        </w:rPr>
        <w:t xml:space="preserve">2. </w:t>
      </w:r>
      <w:r>
        <w:rPr>
          <w:rFonts w:ascii="Calibri" w:hAnsi="Calibri"/>
          <w:b w:val="0"/>
          <w:color w:val="3A4A28"/>
          <w:sz w:val="20"/>
        </w:rPr>
        <w:t>Competitive intensity from well-capitalized AI drug discovery players (Google DeepMind, Recursion, Insilico Medicine) and pharma companies building internal computational capabilities, which could commoditize portions of Schrodinger's platform value [2]</w:t>
      </w:r>
    </w:p>
    <w:p>
      <w:pPr>
        <w:spacing w:before="40" w:after="40"/>
        <w:ind w:left="283"/>
      </w:pPr>
      <w:r>
        <w:rPr>
          <w:rFonts w:ascii="Calibri" w:hAnsi="Calibri"/>
          <w:b/>
          <w:color w:val="4A6B25"/>
          <w:sz w:val="20"/>
        </w:rPr>
        <w:t xml:space="preserve">3. </w:t>
      </w:r>
      <w:r>
        <w:rPr>
          <w:rFonts w:ascii="Calibri" w:hAnsi="Calibri"/>
          <w:b w:val="0"/>
          <w:color w:val="3A4A28"/>
          <w:sz w:val="20"/>
        </w:rPr>
        <w:t>Clinical program binary risk — Schrodinger's internal drug discovery programs carry standard biotech clinical trial risk, and a high-profile clinical failure could impair confidence in the computational platform's ability to generate approvable drugs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Schrodinger's physics-based computational approach has meaningful defensive moats — 36 years of proprietary force field development, validated molecular simulations, and deep pharma customer relationships create high switching costs [2]. However, pure-play AI drug discovery companies (Google DeepMind's AlphaFold, Recursion, Insilico Medicine) represent genuine competitive threats, and the rapid advancement of foundation models for molecular design could commoditize portions of Schrodinger's computational platform. The company's hybrid physics+AI approach is differentiated but not immune — if large language models achieve comparable accuracy in molecular property prediction, Schrodinger's physics engine premium erodes. Analysts have flagged the competitive intensity in AI drug discovery as a risk factor [2]. AI Opportunity (1/1): Schrodinger IS an AI company — the Bunsen agentic AI product is generating measurable revenue growth (27% ACV increase in Q2 2026), drug discovery revenue reached $23M in Q2 2026, and the physics+AI platform serves as the company's core value proposition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Schrodinger Q1-Q2 2026 Earnings — Q2 ACV +27%, Drug Discovery Revenue $23M, Net Income $6M (First Profitable Quarter), 2026 ACV Guidance $218M-$228M — Yahoo Finance, Motley Fool, StockTitan, 2026</w:t>
      </w:r>
    </w:p>
    <w:p>
      <w:pPr>
        <w:spacing w:before="20" w:after="20"/>
        <w:ind w:left="170"/>
      </w:pPr>
      <w:r>
        <w:rPr>
          <w:rFonts w:ascii="Calibri" w:hAnsi="Calibri"/>
          <w:b/>
          <w:color w:val="4A6B25"/>
          <w:sz w:val="15"/>
        </w:rPr>
        <w:t xml:space="preserve">2. </w:t>
      </w:r>
      <w:r>
        <w:rPr>
          <w:rFonts w:ascii="Calibri" w:hAnsi="Calibri"/>
          <w:b w:val="0"/>
          <w:color w:val="3A4A28"/>
          <w:sz w:val="17"/>
        </w:rPr>
        <w:t>Schrodinger AI Strategy and Competitive Position — Physics+AI Platform, Bunsen Launch, NVIDIA Partnership, Competitive Landscape — Nanalyze, GEN Engineering News, Yahoo Finance, 2025-2026</w:t>
      </w:r>
    </w:p>
    <w:p>
      <w:pPr>
        <w:spacing w:before="20" w:after="20"/>
        <w:ind w:left="170"/>
      </w:pPr>
      <w:r>
        <w:rPr>
          <w:rFonts w:ascii="Calibri" w:hAnsi="Calibri"/>
          <w:b/>
          <w:color w:val="4A6B25"/>
          <w:sz w:val="15"/>
        </w:rPr>
        <w:t xml:space="preserve">3. </w:t>
      </w:r>
      <w:r>
        <w:rPr>
          <w:rFonts w:ascii="Calibri" w:hAnsi="Calibri"/>
          <w:b w:val="0"/>
          <w:color w:val="3A4A28"/>
          <w:sz w:val="17"/>
        </w:rPr>
        <w:t>Schrodinger ESG — No material ESG controversies identified; 8 positive Inspire attributions across business ethics, customer welfare, data security, and environmental practices</w:t>
      </w:r>
    </w:p>
    <w:p>
      <w:pPr>
        <w:spacing w:before="20" w:after="20"/>
        <w:ind w:left="170"/>
      </w:pPr>
      <w:r>
        <w:rPr>
          <w:rFonts w:ascii="Calibri" w:hAnsi="Calibri"/>
          <w:b/>
          <w:color w:val="4A6B25"/>
          <w:sz w:val="15"/>
        </w:rPr>
        <w:t xml:space="preserve">4. </w:t>
      </w:r>
      <w:r>
        <w:rPr>
          <w:rFonts w:ascii="Calibri" w:hAnsi="Calibri"/>
          <w:b w:val="0"/>
          <w:color w:val="3A4A28"/>
          <w:sz w:val="17"/>
        </w:rPr>
        <w:t>Yahoo Finance — SDGR Key Statistics: Forward P/E -22.4x, D/E 32.8%, ROE -16.2%, Profit Margin -21.0%, Stock Price $30.24,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