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SEE</w:t>
      </w:r>
      <w:r>
        <w:rPr>
          <w:rFonts w:ascii="Calibri" w:hAnsi="Calibri"/>
          <w:b/>
          <w:color w:val="1A2010"/>
          <w:sz w:val="40"/>
        </w:rPr>
        <w:t xml:space="preserve">  Sealed Air Corporation</w:t>
      </w:r>
    </w:p>
    <w:p>
      <w:pPr>
        <w:spacing w:after="120"/>
      </w:pPr>
      <w:r>
        <w:rPr>
          <w:rFonts w:ascii="Calibri" w:hAnsi="Calibri"/>
          <w:b/>
          <w:color w:val="6E8450"/>
          <w:sz w:val="18"/>
        </w:rPr>
        <w:t>GROWTH SLEEVE · 2026-09-05 · Inspire: 66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Packaging &amp; Containers · NYSE · United States</w:t>
      </w:r>
    </w:p>
    <w:p>
      <w:pPr>
        <w:spacing w:after="80"/>
      </w:pPr>
      <w:r>
        <w:rPr>
          <w:rFonts w:ascii="Calibri" w:hAnsi="Calibri"/>
          <w:b w:val="0"/>
          <w:color w:val="3A4A28"/>
          <w:sz w:val="20"/>
        </w:rPr>
        <w:t>Sealed Air is a global packaging company providing food safety and product protection solutions through its Cryovac food packaging and Bubble Wrap protective packaging brands, organized into Food and Protective segments. FY2025 revenue of $5.36B was essentially flat (-0.6% YoY), with earnings of $505.5M (+91% from a depressed FY2024 base). The company has been acquired by Clayton, Dubilier &amp; Rice (CD&amp;R) in an all-cash transaction with an enterprise value of $10.3B. CEO Dustin Semach was appointed in February 2025 after predecessor Patrick Kivits was ousted after less than a year.</w:t>
      </w:r>
    </w:p>
    <w:p>
      <w:r>
        <w:rPr>
          <w:rFonts w:ascii="Calibri" w:hAnsi="Calibri"/>
          <w:b/>
          <w:color w:val="6E8450"/>
          <w:sz w:val="18"/>
        </w:rPr>
        <w:t>16,100 Employees · https://www.sealedair.com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Sealed Air has reorganized into two distinct segments (Food and Protective) and invested in sustainable packaging innovations including recyclable materials with 50%+ recycled content [3]. However, the company's innovation execution has been hampered by CEO instability — Patrick Kivits was ousted after less than one year, succeeded by Dustin Semach who was promoted from within in February 2025 [3]. The business model and product portfolio have not fundamentally changed in 5 years. AI Deployment (1/2): Sealed Air has deployed AI for predictive maintenance to boost equipment uptime, AI-accelerated R&amp;D for sustainable materials, AI-powered pricing optimization, and AI-driven remote monitoring for automated packaging systems [3]. These represent shipping internal AI applications with operational impact, though no specific savings have been quantified publicly. Market Share (1/2): Sealed Air is a meaningful global player in food packaging (Cryovac) and protective packaging (Bubble Wrap brand recognition) but competes with Amcor, Berry Global, and Sonoco — it is not a dominant category leader with specific share data showing growth [1]. Product Pipeline (1/2): Three new recyclable packaging solutions with 50%+ recycled content planned for launch, with a target to grow the sustainable portfolio to 35% of total packaging revenue [3]. These have strategic direction but lack specific launch dates and revenue projections. R&amp;D Intensity (0/1): Packaging companies generally invest at industry-average R&amp;D levels, and no evidence of above-average R&amp;D intensity relative to packaging peers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Sealed Air's purpose centers on 'creating packaging that can be recovered and recycled, contributes to consumer waste diversion, and reduces greenhouse gases' [4]. This connects the business to environmental sustainability but is functionally descriptive — many packaging companies articulate similar sustainability commitments. The purpose identifies what Sealed Air does (sustainable packaging) and why it matters (environmental impact), but it does not articulate a distinctive vision that separates Sealed Air from Amcor or Berry Global. Community &amp; Charitable Impact (0/2): No evidence of significant charitable programs, foundation activities, or community investment with specific dollar amounts was identified in public materials. The company's Global Impact Report focuses on ESG metrics rather than community giving [4]. Employee Retention &amp; Tenure (0/2): CEO instability — Kivits ousted after less than one year, Semach promoted as replacement, new CFO Kristen Actis-Grande appointed in November, new Protective segment president Russell Grissett hired from Sonoco in December [3]. Multiple C-suite changes within 12 months signal organizational instability rather than a mission-driven culture that retains leaders. Insider Buying (0/2): No evidence of meaningful net insider buying by executives was identified. The pending CD&amp;R acquisition at enterprise value of $10.3B limits the informativeness of insider activity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Sealed Air shows a mixed financial profile with both clear strengths and weaknesses. ROE of 47.39% significantly exceeds the 15% target, reflecting efficient capital deployment despite the heavy debt load [4]. Forward P/E of 12.27 is well below the 20x target, scoring a full 1.0, though the valuation is partially anchored by the CD&amp;R acquisition price [2]. Revenue growth YoY of -0.6% (flat) scores 0.65 on the interpolation scale — the Food segment was essentially flat while Protective declined 2% [1]. 5-year revenue CAGR of approximately 1.8% ($4.9B in 2020 to $5.36B in 2025) scores 0.45, reflecting stagnant top-line growth across the business cycle. Profit margin of 9.43% scores 0.47, below the 20% target for a materials company with significant COGS. The major drag is D/E of 331%, which exceeds the 300% floor and scores 0.0 — a legacy of Sealed Air's highly leveraged capital structure [4]. PEG is excluded due to data unavailability. The stock clears the liquidity floor at approximately $65M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Sealed Air operates with a finite mindset driven by organizational instability and near-term optimization. Three CEO changes in recent years (Ted Doheny, Patrick Kivits ousted after under a year, Dustin Semach promoted) demonstrate a company that cannot maintain consistent strategic leadership — the antithesis of Sinek's infinite game framework [3]. The CD&amp;R private equity acquisition confirms the transition to a value-extraction model where financial returns trump long-term cause-driven strategy [2]. While sustainability initiatives show some forward thinking, the organizational chaos and PE ownership suggest a company playing to optimize the current cycle rather than endure across generations.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Sealed Air's sustainability-oriented purpose — reducing environmental impact through recoverable and recyclable packaging — is a stated cause but has been undermined by leadership instability that prevents it from being consistently lived [3][4]. A Just Cause must survive leadership transitions; Sealed Air's has been tested and found wanting, with three CEO changes showing the cause does not guide leadership decisions. The CD&amp;R private equity acquisition further undermines Just Cause credibility, as PE ownership inherently prioritizes 3-5 year financial returns over generational purpose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Sealed Air demonstrates organizational instability that erodes trust. Patrick Kivits was ousted as CEO after less than one year, Dustin Semach was promoted as a replacement in February 2025, new CFO Kristen Actis-Grande was appointed in November, and new Protective segment president Russell Grissett was hired from Sonoco in December [3]. Four C-suite changes within approximately 12 months creates an environment of uncertainty rather than psychological safety. Employees cannot build trust with leaders who may not be in their roles next quarter. The company had 16,100 employees in 2025, down 1.8% from 2024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Sealed Air's competitive positioning focuses on brand recognition (Cryovac, Bubble Wrap) and customer relationships rather than self-improvement driven by worthy rivals [1]. The CD&amp;R acquisition suggests the company was looking for a financial exit rather than embracing competitive dynamics as motivation for self-improvement. Management commentary focuses on cost optimization and segment restructuring rather than learning from competitors like Amcor or Berry Global.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Sealed Air has shown incremental adaptation — reorganizing into Food and Protective segments, developing sustainable packaging with 50%+ recycled content, and targeting the sustainable portfolio at 35% of revenue [3]. CEO Semach has articulated a strategy of 'refocusing on end markets' with distinct business strategies for each segment. However, these are evolutionary changes within the same business model, not transformative reinvention. The company has been making packaging for decades and will continue making packaging under CD&amp;R ownership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by leadership. The board's ouster of CEO Kivits after less than one year suggests reactive governance rather than strategic patience [3]. The CD&amp;R acquisition at $10.3B enterprise value represents a decision to sell the company rather than invest in long-term transformation — the opposite of courage to lead [2]. Sealed Air's flat revenue trajectory ($5.36B in 2025 vs $5.5B in 2021) reflects four years of strategic drift rather than bold investment in future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Sealed Air at $42.08 is a pending acquisition play — the stock trades near the implied per-share price of the CD&amp;R all-cash transaction valued at $10.3B enterprise value, effectively capping upside [2]. For investors still evaluating the fundamental business, the FY2025 earnings recovery (+91% to $505.5M) demonstrated operating leverage in a flat-revenue environment, and ROE of 47.39% reflects efficient capital deployment despite the 331% D/E leverage [4]. Forward P/E of 12.27 is attractive in absolute terms, and the Food segment (Cryovac) provides stable, recession-resistant demand driven by food safety requirements [1]. The Inspire Impact Score of 66 (ALIGNED) with 17 positive attributions and zero negative attributions makes SEE one of the strongest faith-alignment profiles in the packaging sector, suitable for values-based investors.</w:t>
      </w:r>
    </w:p>
    <w:p>
      <w:pPr>
        <w:spacing w:after="120"/>
      </w:pPr>
      <w:r>
        <w:rPr>
          <w:rFonts w:ascii="Calibri" w:hAnsi="Calibri"/>
          <w:b w:val="0"/>
          <w:color w:val="3A4A28"/>
          <w:sz w:val="20"/>
        </w:rPr>
        <w:t>The bear case is dominated by the CD&amp;R acquisition overhang and fundamental growth challenges. The all-cash acquisition at $10.3B enterprise value effectively floors and caps the stock price near current levels, eliminating fundamental upside optionality [2]. Underlying revenue has been stagnant for four years — $5.53B in 2021, $5.36B in 2025, representing a -0.6% FY2025 decline — with no visible growth catalyst in either the Food (flat) or Protective (-2%) segment [1]. D/E of 331% exceeds the 300% infrastructure floor, reflecting a highly leveraged capital structure that constrains financial flexibility and amplifies downside risk in a recession. Three CEO changes in recent years (Doheny, Kivits, Semach) demonstrate strategic instability that undermines long-term planning [3]. Under PE ownership, the company is likely to prioritize cost optimization and cash flow generation over innovation investment, potentially weakening the competitive position relative to peers like Amcor and Berry Global who remain publicly traded with longer-term investment horizons. The 5-year revenue CAGR of just 1.8% scores poorly on growth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CD&amp;R acquisition completion at $10.3B enterprise value provides near-term price certainty and downside protection, with PE ownership potentially accelerating the sustainable packaging strategy through longer-term capital deployment [2]</w:t>
      </w:r>
    </w:p>
    <w:p>
      <w:pPr>
        <w:spacing w:before="40" w:after="40"/>
        <w:ind w:left="283"/>
      </w:pPr>
      <w:r>
        <w:rPr>
          <w:rFonts w:ascii="Calibri" w:hAnsi="Calibri"/>
          <w:b/>
          <w:color w:val="4A6B25"/>
          <w:sz w:val="20"/>
        </w:rPr>
        <w:t xml:space="preserve">2. </w:t>
      </w:r>
      <w:r>
        <w:rPr>
          <w:rFonts w:ascii="Calibri" w:hAnsi="Calibri"/>
          <w:b w:val="0"/>
          <w:color w:val="3A4A28"/>
          <w:sz w:val="20"/>
        </w:rPr>
        <w:t>Sustainable packaging portfolio targeting 35% of revenue with three new recyclable solutions featuring 50%+ recycled content could re-position Sealed Air as a sustainability leader, capturing growing demand from CPG companies with 2030 packaging commitments [3]</w:t>
      </w:r>
    </w:p>
    <w:p>
      <w:pPr>
        <w:spacing w:before="40" w:after="40"/>
        <w:ind w:left="283"/>
      </w:pPr>
      <w:r>
        <w:rPr>
          <w:rFonts w:ascii="Calibri" w:hAnsi="Calibri"/>
          <w:b/>
          <w:color w:val="4A6B25"/>
          <w:sz w:val="20"/>
        </w:rPr>
        <w:t xml:space="preserve">3. </w:t>
      </w:r>
      <w:r>
        <w:rPr>
          <w:rFonts w:ascii="Calibri" w:hAnsi="Calibri"/>
          <w:b w:val="0"/>
          <w:color w:val="3A4A28"/>
          <w:sz w:val="20"/>
        </w:rPr>
        <w:t>AI-powered operational improvements including predictive maintenance, materials R&amp;D acceleration, and pricing optimization could expand margins beyond the FY2025 earnings recovery that demonstrated 91% profit growth in a flat-revenue environment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CD&amp;R acquisition at $10.3B enterprise value caps upside and transitions the company to PE ownership where 3-5 year financial return optimization will likely take priority over long-term innovation investment and competitive positioning [2]</w:t>
      </w:r>
    </w:p>
    <w:p>
      <w:pPr>
        <w:spacing w:before="40" w:after="40"/>
        <w:ind w:left="283"/>
      </w:pPr>
      <w:r>
        <w:rPr>
          <w:rFonts w:ascii="Calibri" w:hAnsi="Calibri"/>
          <w:b/>
          <w:color w:val="4A6B25"/>
          <w:sz w:val="20"/>
        </w:rPr>
        <w:t xml:space="preserve">2. </w:t>
      </w:r>
      <w:r>
        <w:rPr>
          <w:rFonts w:ascii="Calibri" w:hAnsi="Calibri"/>
          <w:b w:val="0"/>
          <w:color w:val="3A4A28"/>
          <w:sz w:val="20"/>
        </w:rPr>
        <w:t>Revenue stagnation — four consecutive years of essentially flat revenue ($5.53B in 2021 to $5.36B in 2025) with Food segment flat and Protective declining 2%, indicating structural demand challenges in both core business lines [1]</w:t>
      </w:r>
    </w:p>
    <w:p>
      <w:pPr>
        <w:spacing w:before="40" w:after="40"/>
        <w:ind w:left="283"/>
      </w:pPr>
      <w:r>
        <w:rPr>
          <w:rFonts w:ascii="Calibri" w:hAnsi="Calibri"/>
          <w:b/>
          <w:color w:val="4A6B25"/>
          <w:sz w:val="20"/>
        </w:rPr>
        <w:t xml:space="preserve">3. </w:t>
      </w:r>
      <w:r>
        <w:rPr>
          <w:rFonts w:ascii="Calibri" w:hAnsi="Calibri"/>
          <w:b w:val="0"/>
          <w:color w:val="3A4A28"/>
          <w:sz w:val="20"/>
        </w:rPr>
        <w:t>D/E of 331% creates significant balance sheet risk, particularly under PE ownership that may add additional leverage to fund the acquisition, potentially constraining the company's ability to invest in the sustainable packaging transformation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Sealed Air's core business is IMMUNE to AI disruption — physical packaging manufacturing for food safety (Cryovac) and product protection (Bubble Wrap) requires manufacturing facilities, materials science, supply chain logistics, and regulatory compliance (FDA food contact requirements) that AI structurally cannot replace [1]. Customers need physical packaging — there is no AI substitute for a vacuum-sealed food package or protective cushioning. The business operates at the intersection of materials science, manufacturing engineering, and food safety regulations that create deep structural moats against AI displacement. AI is being deployed internally to enhance operations (predictive maintenance, pricing optimization, materials R&amp;D), but these represent efficiency tools that strengthen the business rather than competitive threats [3]. Food packaging demand is driven by population growth and food safety requirements, not by technology cycles vulnerable to AI disruption. AI Opportunity (0/1): Sealed Air deploys AI internally for operational efficiency but does not generate identifiable AI revenue from products sold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Sealed Air Q4 &amp; FY2025 Earnings Release — Revenue $5.36B (-0.6% YoY), Earnings $505.5M (+91%), Food Segment Flat, Protective -2%, Q4 Revenue $1.40B (+2.1% YoY), February 2026</w:t>
      </w:r>
    </w:p>
    <w:p>
      <w:pPr>
        <w:spacing w:before="20" w:after="20"/>
        <w:ind w:left="170"/>
      </w:pPr>
      <w:r>
        <w:rPr>
          <w:rFonts w:ascii="Calibri" w:hAnsi="Calibri"/>
          <w:b/>
          <w:color w:val="4A6B25"/>
          <w:sz w:val="15"/>
        </w:rPr>
        <w:t xml:space="preserve">2. </w:t>
      </w:r>
      <w:r>
        <w:rPr>
          <w:rFonts w:ascii="Calibri" w:hAnsi="Calibri"/>
          <w:b w:val="0"/>
          <w:color w:val="3A4A28"/>
          <w:sz w:val="17"/>
        </w:rPr>
        <w:t>Sealed Air CD&amp;R Acquisition — All-Cash Transaction, Enterprise Value $10.3B, Private Equity Partnership, Completed 2026 — Packaging Dive, PRNewswire, SEC Form 8-K</w:t>
      </w:r>
    </w:p>
    <w:p>
      <w:pPr>
        <w:spacing w:before="20" w:after="20"/>
        <w:ind w:left="170"/>
      </w:pPr>
      <w:r>
        <w:rPr>
          <w:rFonts w:ascii="Calibri" w:hAnsi="Calibri"/>
          <w:b/>
          <w:color w:val="4A6B25"/>
          <w:sz w:val="15"/>
        </w:rPr>
        <w:t xml:space="preserve">3. </w:t>
      </w:r>
      <w:r>
        <w:rPr>
          <w:rFonts w:ascii="Calibri" w:hAnsi="Calibri"/>
          <w:b w:val="0"/>
          <w:color w:val="3A4A28"/>
          <w:sz w:val="17"/>
        </w:rPr>
        <w:t>Sealed Air Leadership &amp; Innovation — CEO Dustin Semach (Feb 2025, Succeeding Ousted Kivits), CFO Actis-Grande (Nov), Grissett Protective President (Dec), AI-Powered Operations, Sustainable Packaging R&amp;D — Packaging Dive, Packaging Gateway,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TipRanks — SEE Key Statistics: Stock Price $42.08, Forward PE 12.27, D/E 331%, ROE 47.39%, Profit Margin 9.43%, Avg Volume 1.5M, Dividend Yield 1.90%, Analyst Target $44.56,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